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tbl>
      <w:tblPr>
        <w:tblW w:w="10632" w:type="dxa"/>
        <w:tblInd w:w="-572" w:type="dxa"/>
        <w:tblBorders/>
        <w:tblLook w:val="04A0" w:firstRow="1" w:lastRow="0" w:firstColumn="1" w:lastColumn="0" w:noHBand="0" w:noVBand="1"/>
      </w:tblPr>
      <w:tblGrid>
        <w:gridCol w:w="1129"/>
        <w:gridCol w:w="9503"/>
      </w:tblGrid>
      <w:tr>
        <w:trPr/>
        <w:tc>
          <w:tcPr>
            <w:tcBorders/>
            <w:tcW w:w="112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33400" cy="704850"/>
                      <wp:effectExtent l="0" t="0" r="0" b="0"/>
                      <wp:docPr id="1" name="Рисунок 1" descr="C:\Users\T'rain\Desktop\логотип 2016 УКРТБдля документов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Рисунок 1" descr="C:\Users\T'rain\Desktop\логотип 2016 УКРТБдля документов.jpg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33400" cy="7048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miter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0" o:spid="_x0000_s0" type="#_x0000_t75" style="width:42.00pt;height:55.50pt;mso-wrap-distance-left:0.00pt;mso-wrap-distance-top:0.00pt;mso-wrap-distance-right:0.00pt;mso-wrap-distance-bottom:0.00pt;z-index:1;" stroked="f">
                      <v:imagedata r:id="rId10" o:title=""/>
                      <o:lock v:ext="edit" rotation="t"/>
                    </v:shape>
                  </w:pict>
                </mc:Fallback>
              </mc:AlternateContent>
            </w:r>
            <w:r>
              <w:rPr>
                <w:sz w:val="28"/>
                <w:szCs w:val="28"/>
              </w:rPr>
            </w:r>
          </w:p>
        </w:tc>
        <w:tc>
          <w:tcPr>
            <w:tcBorders/>
            <w:tcW w:w="950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МИНИСТЕРСТВО </w:t>
            </w:r>
            <w:r>
              <w:rPr>
                <w:sz w:val="28"/>
                <w:szCs w:val="28"/>
              </w:rPr>
              <w:t xml:space="preserve">ПРОСВЕЩЕНИЯ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РЕСПУБЛИКИ БАШКОРТОСТАН</w:t>
            </w:r>
            <w:r>
              <w:rPr>
                <w:sz w:val="28"/>
                <w:szCs w:val="28"/>
              </w:rPr>
            </w:r>
          </w:p>
          <w:p>
            <w:pPr>
              <w:pBdr/>
              <w:shd w:val="clear" w:color="auto" w:fill="ffffff"/>
              <w:spacing/>
              <w:ind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Государственное бюджетное профессиональное образовательное учреждение</w:t>
            </w:r>
            <w:r>
              <w:rPr>
                <w:sz w:val="26"/>
                <w:szCs w:val="26"/>
              </w:rPr>
            </w:r>
          </w:p>
          <w:p>
            <w:pPr>
              <w:pBdr/>
              <w:shd w:val="clear" w:color="auto" w:fill="ffffff"/>
              <w:spacing/>
              <w:ind/>
              <w:jc w:val="center"/>
              <w:rPr>
                <w:sz w:val="28"/>
                <w:szCs w:val="28"/>
              </w:rPr>
            </w:pPr>
            <w:r>
              <w:rPr>
                <w:sz w:val="26"/>
                <w:szCs w:val="26"/>
              </w:rPr>
              <w:t xml:space="preserve">Уфимский колледж радиоэлектроники, телекоммуникаций и безопасности</w:t>
            </w:r>
            <w:r>
              <w:rPr>
                <w:sz w:val="28"/>
                <w:szCs w:val="28"/>
              </w:rPr>
            </w:r>
          </w:p>
        </w:tc>
      </w:tr>
    </w:tbl>
    <w:p>
      <w:pPr>
        <w:pBdr/>
        <w:shd w:val="clear" w:color="auto" w:fill="ffffff"/>
        <w:spacing/>
        <w:ind/>
        <w:rPr/>
      </w:pPr>
      <w:r/>
      <w:r/>
    </w:p>
    <w:p>
      <w:pPr>
        <w:pBdr/>
        <w:shd w:val="clear" w:color="auto" w:fill="ffffff"/>
        <w:spacing/>
        <w:ind w:left="754"/>
        <w:jc w:val="center"/>
        <w:rPr/>
      </w:pPr>
      <w:r/>
      <w:r/>
    </w:p>
    <w:p>
      <w:pPr>
        <w:pBdr/>
        <w:spacing/>
        <w:ind w:left="4956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10778" w:type="dxa"/>
        <w:tblInd w:w="-289" w:type="dxa"/>
        <w:tblBorders/>
        <w:tblLook w:val="04A0" w:firstRow="1" w:lastRow="0" w:firstColumn="1" w:lastColumn="0" w:noHBand="0" w:noVBand="1"/>
      </w:tblPr>
      <w:tblGrid>
        <w:gridCol w:w="5959"/>
        <w:gridCol w:w="4819"/>
      </w:tblGrid>
      <w:tr>
        <w:trPr/>
        <w:tc>
          <w:tcPr>
            <w:tcBorders/>
            <w:tcW w:w="5959" w:type="dxa"/>
            <w:textDirection w:val="lrTb"/>
            <w:noWrap w:val="false"/>
          </w:tcPr>
          <w:p>
            <w:pPr>
              <w:pBdr/>
              <w:spacing/>
              <w:ind w:hanging="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СОГЛАСОВАНО</w:t>
            </w:r>
            <w:r>
              <w:rPr>
                <w:sz w:val="28"/>
                <w:szCs w:val="28"/>
              </w:rPr>
            </w:r>
          </w:p>
          <w:p>
            <w:pPr>
              <w:pBdr/>
              <w:spacing/>
              <w:ind w:hanging="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Г</w:t>
            </w:r>
            <w:r>
              <w:rPr>
                <w:sz w:val="28"/>
                <w:szCs w:val="28"/>
              </w:rPr>
              <w:t xml:space="preserve">Э</w:t>
            </w:r>
            <w:r>
              <w:rPr>
                <w:sz w:val="28"/>
                <w:szCs w:val="28"/>
              </w:rPr>
              <w:t xml:space="preserve">К</w:t>
            </w:r>
            <w:r>
              <w:rPr>
                <w:sz w:val="28"/>
                <w:szCs w:val="28"/>
              </w:rPr>
            </w:r>
          </w:p>
          <w:p>
            <w:pPr>
              <w:pBdr/>
              <w:spacing/>
              <w:ind w:hanging="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 </w:t>
            </w:r>
            <w:r>
              <w:rPr>
                <w:sz w:val="28"/>
                <w:szCs w:val="28"/>
              </w:rPr>
              <w:t xml:space="preserve">Р.Ф. Туктаров</w:t>
            </w:r>
            <w:r>
              <w:rPr>
                <w:sz w:val="28"/>
                <w:szCs w:val="28"/>
              </w:rPr>
            </w:r>
          </w:p>
          <w:p>
            <w:pPr>
              <w:pBdr/>
              <w:spacing/>
              <w:ind w:hanging="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</w:t>
            </w:r>
            <w:r>
              <w:rPr>
                <w:sz w:val="28"/>
                <w:szCs w:val="28"/>
                <w:lang w:val="en-US"/>
              </w:rPr>
              <w:t xml:space="preserve">18</w:t>
            </w:r>
            <w:r>
              <w:rPr>
                <w:sz w:val="28"/>
                <w:szCs w:val="28"/>
              </w:rPr>
              <w:t xml:space="preserve">» </w:t>
            </w:r>
            <w:r>
              <w:rPr>
                <w:sz w:val="28"/>
                <w:szCs w:val="28"/>
              </w:rPr>
              <w:t xml:space="preserve">ноября</w:t>
            </w:r>
            <w:r>
              <w:rPr>
                <w:sz w:val="28"/>
                <w:szCs w:val="28"/>
              </w:rPr>
              <w:t xml:space="preserve"> 20</w:t>
            </w:r>
            <w:r>
              <w:rPr>
                <w:sz w:val="28"/>
                <w:szCs w:val="28"/>
              </w:rPr>
              <w:t xml:space="preserve">2</w:t>
            </w:r>
            <w:r>
              <w:rPr>
                <w:sz w:val="28"/>
                <w:szCs w:val="28"/>
              </w:rPr>
              <w:t xml:space="preserve">5</w:t>
            </w:r>
            <w:r>
              <w:rPr>
                <w:sz w:val="28"/>
                <w:szCs w:val="28"/>
              </w:rPr>
              <w:t xml:space="preserve">г.</w:t>
            </w:r>
            <w:r>
              <w:rPr>
                <w:sz w:val="28"/>
                <w:szCs w:val="28"/>
              </w:rPr>
            </w:r>
          </w:p>
          <w:p>
            <w:pPr>
              <w:pBdr/>
              <w:spacing/>
              <w: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/>
            <w:tcW w:w="4819" w:type="dxa"/>
            <w:textDirection w:val="lrTb"/>
            <w:noWrap w:val="false"/>
          </w:tcPr>
          <w:p>
            <w:pPr>
              <w:pBdr/>
              <w:spacing/>
              <w:ind w:hanging="6"/>
              <w:jc w:val="both"/>
              <w:rPr>
                <w:sz w:val="28"/>
                <w:szCs w:val="28"/>
              </w:rPr>
            </w:pPr>
            <w:r/>
            <w:bookmarkStart w:id="0" w:name="OLE_LINK36"/>
            <w:r/>
            <w:bookmarkStart w:id="1" w:name="OLE_LINK37"/>
            <w:r>
              <w:rPr>
                <w:sz w:val="28"/>
                <w:szCs w:val="28"/>
              </w:rPr>
              <w:t xml:space="preserve">УТВЕРЖДАЮ </w:t>
            </w:r>
            <w:r>
              <w:rPr>
                <w:sz w:val="28"/>
                <w:szCs w:val="28"/>
              </w:rPr>
            </w:r>
          </w:p>
          <w:p>
            <w:pPr>
              <w:pBdr/>
              <w:spacing/>
              <w:ind w:hanging="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</w:t>
            </w:r>
            <w:r>
              <w:rPr>
                <w:sz w:val="28"/>
                <w:szCs w:val="28"/>
              </w:rPr>
              <w:t xml:space="preserve">ГБ</w:t>
            </w:r>
            <w:r>
              <w:rPr>
                <w:sz w:val="28"/>
                <w:szCs w:val="28"/>
              </w:rPr>
              <w:t xml:space="preserve">ПОУ УКРТБ</w:t>
            </w:r>
            <w:r>
              <w:rPr>
                <w:sz w:val="28"/>
                <w:szCs w:val="28"/>
              </w:rPr>
            </w:r>
          </w:p>
          <w:p>
            <w:pPr>
              <w:pBdr/>
              <w:spacing/>
              <w:ind w:hanging="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 </w:t>
            </w:r>
            <w:r>
              <w:rPr>
                <w:sz w:val="28"/>
                <w:szCs w:val="28"/>
              </w:rPr>
              <w:t xml:space="preserve">И.В. Нуйкин</w:t>
            </w:r>
            <w:r>
              <w:rPr>
                <w:sz w:val="28"/>
                <w:szCs w:val="28"/>
              </w:rPr>
            </w:r>
          </w:p>
          <w:p>
            <w:pPr>
              <w:pBdr/>
              <w:spacing/>
              <w:ind w:hanging="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</w:t>
            </w:r>
            <w:r>
              <w:rPr>
                <w:sz w:val="28"/>
                <w:szCs w:val="28"/>
                <w:lang w:val="en-US"/>
              </w:rPr>
              <w:t xml:space="preserve">18</w:t>
            </w:r>
            <w:r>
              <w:rPr>
                <w:sz w:val="28"/>
                <w:szCs w:val="28"/>
              </w:rPr>
              <w:t xml:space="preserve">» </w:t>
            </w:r>
            <w:r>
              <w:rPr>
                <w:sz w:val="28"/>
                <w:szCs w:val="28"/>
              </w:rPr>
              <w:t xml:space="preserve">ноября</w:t>
            </w:r>
            <w:r>
              <w:rPr>
                <w:sz w:val="28"/>
                <w:szCs w:val="28"/>
              </w:rPr>
              <w:t xml:space="preserve"> 20</w:t>
            </w:r>
            <w:r>
              <w:rPr>
                <w:sz w:val="28"/>
                <w:szCs w:val="28"/>
              </w:rPr>
              <w:t xml:space="preserve">2</w:t>
            </w:r>
            <w:r>
              <w:rPr>
                <w:sz w:val="28"/>
                <w:szCs w:val="28"/>
              </w:rPr>
              <w:t xml:space="preserve">5</w:t>
            </w:r>
            <w:r>
              <w:rPr>
                <w:sz w:val="28"/>
                <w:szCs w:val="28"/>
              </w:rPr>
              <w:t xml:space="preserve">г.</w:t>
            </w:r>
            <w:bookmarkEnd w:id="0"/>
            <w:bookmarkEnd w:id="1"/>
            <w:r>
              <w:rPr>
                <w:sz w:val="28"/>
                <w:szCs w:val="28"/>
              </w:rPr>
            </w:r>
          </w:p>
          <w:p>
            <w:pPr>
              <w:pBdr/>
              <w:spacing/>
              <w: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pBdr/>
        <w:spacing/>
        <w:ind w:left="4956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hd w:val="clear" w:color="auto" w:fill="ffffff"/>
        <w:spacing/>
        <w:ind w:left="754"/>
        <w:jc w:val="center"/>
        <w:rPr/>
      </w:pPr>
      <w:r/>
      <w:r/>
    </w:p>
    <w:p>
      <w:pPr>
        <w:pBdr/>
        <w:shd w:val="clear" w:color="auto" w:fill="ffffff"/>
        <w:spacing/>
        <w:ind w:left="754"/>
        <w:jc w:val="center"/>
        <w:rPr/>
      </w:pPr>
      <w:r/>
      <w:r/>
    </w:p>
    <w:p>
      <w:pPr>
        <w:pBdr/>
        <w:shd w:val="clear" w:color="auto" w:fill="ffffff"/>
        <w:spacing w:line="360" w:lineRule="auto"/>
        <w:ind/>
        <w:jc w:val="center"/>
        <w:rPr>
          <w:rFonts w:eastAsia="Times New Roman"/>
          <w:b/>
          <w:bCs/>
          <w:color w:val="000000"/>
          <w:spacing w:val="-2"/>
          <w:sz w:val="24"/>
          <w:szCs w:val="24"/>
        </w:rPr>
      </w:pPr>
      <w:r>
        <w:rPr>
          <w:rFonts w:eastAsia="Times New Roman"/>
          <w:b/>
          <w:bCs/>
          <w:color w:val="000000"/>
          <w:spacing w:val="-2"/>
          <w:sz w:val="24"/>
          <w:szCs w:val="24"/>
        </w:rPr>
        <w:t xml:space="preserve">ПРОГРАММА ГОСУДАРСТВЕННОЙ (ИТОГОВОЙ) АТТЕСТАЦИИ ВЫПУСКНИКОВ УКРТБ</w:t>
      </w:r>
      <w:r>
        <w:rPr>
          <w:rFonts w:eastAsia="Times New Roman"/>
          <w:b/>
          <w:bCs/>
          <w:color w:val="000000"/>
          <w:spacing w:val="-2"/>
          <w:sz w:val="24"/>
          <w:szCs w:val="24"/>
        </w:rPr>
        <w:br/>
        <w:t xml:space="preserve">ПО СПЕЦИАЛЬНОСТИ СРЕДНЕГО ПРОФЕССИОНАЛЬНОГО ОБРАЗОВАНИЯ</w:t>
      </w:r>
      <w:r>
        <w:rPr>
          <w:rFonts w:eastAsia="Times New Roman"/>
          <w:b/>
          <w:bCs/>
          <w:color w:val="000000"/>
          <w:spacing w:val="-2"/>
          <w:sz w:val="24"/>
          <w:szCs w:val="24"/>
        </w:rPr>
      </w:r>
    </w:p>
    <w:p>
      <w:pPr>
        <w:pBdr/>
        <w:spacing/>
        <w:ind/>
        <w:rPr/>
      </w:pPr>
      <w:r/>
      <w:r/>
    </w:p>
    <w:tbl>
      <w:tblPr>
        <w:tblW w:w="0" w:type="auto"/>
        <w:tblInd w:w="828" w:type="dxa"/>
        <w:tblBorders/>
        <w:tblLook w:val="01E0" w:firstRow="1" w:lastRow="1" w:firstColumn="1" w:lastColumn="1" w:noHBand="0" w:noVBand="0"/>
      </w:tblPr>
      <w:tblGrid>
        <w:gridCol w:w="1196"/>
        <w:gridCol w:w="234"/>
        <w:gridCol w:w="714"/>
        <w:gridCol w:w="6373"/>
      </w:tblGrid>
      <w:tr>
        <w:trPr/>
        <w:tc>
          <w:tcPr>
            <w:tcBorders>
              <w:bottom w:val="single" w:color="auto" w:sz="4" w:space="0"/>
            </w:tcBorders>
            <w:tcW w:w="119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09.02</w:t>
            </w:r>
            <w:r>
              <w:rPr>
                <w:sz w:val="28"/>
                <w:szCs w:val="28"/>
              </w:rPr>
              <w:t xml:space="preserve">.</w:t>
            </w:r>
            <w:r>
              <w:rPr>
                <w:sz w:val="28"/>
                <w:szCs w:val="28"/>
              </w:rPr>
              <w:t xml:space="preserve">0</w:t>
            </w:r>
            <w:r>
              <w:rPr>
                <w:sz w:val="28"/>
                <w:szCs w:val="28"/>
              </w:rPr>
              <w:t xml:space="preserve">1</w:t>
            </w:r>
            <w:r>
              <w:rPr>
                <w:sz w:val="28"/>
                <w:szCs w:val="28"/>
              </w:rPr>
            </w:r>
          </w:p>
        </w:tc>
        <w:tc>
          <w:tcPr>
            <w:tcBorders/>
            <w:tcW w:w="234" w:type="dxa"/>
            <w:textDirection w:val="lrTb"/>
            <w:noWrap w:val="false"/>
          </w:tcPr>
          <w:p>
            <w:pPr>
              <w:pBdr/>
              <w:spacing/>
              <w:ind w:firstLine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gridSpan w:val="2"/>
            <w:tcBorders>
              <w:bottom w:val="single" w:color="auto" w:sz="4" w:space="0"/>
            </w:tcBorders>
            <w:tcW w:w="7087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Компьютерные </w:t>
            </w:r>
            <w:r>
              <w:rPr>
                <w:sz w:val="28"/>
                <w:szCs w:val="28"/>
              </w:rPr>
              <w:t xml:space="preserve">системы и </w:t>
            </w:r>
            <w:r>
              <w:rPr>
                <w:sz w:val="28"/>
                <w:szCs w:val="28"/>
              </w:rPr>
              <w:t xml:space="preserve">комплексы</w:t>
            </w: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Borders>
              <w:top w:val="single" w:color="auto" w:sz="4" w:space="0"/>
            </w:tcBorders>
            <w:tcW w:w="119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8"/>
                <w:szCs w:val="28"/>
              </w:rPr>
            </w:pPr>
            <w:r>
              <w:rPr>
                <w:i/>
              </w:rPr>
              <w:t xml:space="preserve">код</w:t>
            </w:r>
            <w:r>
              <w:rPr>
                <w:sz w:val="28"/>
                <w:szCs w:val="28"/>
              </w:rPr>
            </w:r>
          </w:p>
        </w:tc>
        <w:tc>
          <w:tcPr>
            <w:tcBorders/>
            <w:tcW w:w="234" w:type="dxa"/>
            <w:textDirection w:val="lrTb"/>
            <w:noWrap w:val="false"/>
          </w:tcPr>
          <w:p>
            <w:pPr>
              <w:pBdr/>
              <w:spacing/>
              <w:ind w:firstLine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gridSpan w:val="2"/>
            <w:tcBorders>
              <w:top w:val="single" w:color="auto" w:sz="4" w:space="0"/>
            </w:tcBorders>
            <w:tcW w:w="708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8"/>
                <w:szCs w:val="28"/>
              </w:rPr>
            </w:pPr>
            <w:r>
              <w:rPr>
                <w:i/>
              </w:rPr>
              <w:t xml:space="preserve">н</w:t>
            </w:r>
            <w:r>
              <w:rPr>
                <w:i/>
              </w:rPr>
              <w:t xml:space="preserve">аименование</w:t>
            </w:r>
            <w:r>
              <w:rPr>
                <w:i/>
                <w:lang w:val="en-US"/>
              </w:rPr>
              <w:t xml:space="preserve"> </w:t>
            </w:r>
            <w:r>
              <w:rPr>
                <w:i/>
              </w:rPr>
              <w:t xml:space="preserve">специальности</w:t>
            </w: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gridSpan w:val="3"/>
            <w:tcBorders/>
            <w:tcW w:w="2144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Квалификация: 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bottom w:val="single" w:color="auto" w:sz="4" w:space="0"/>
            </w:tcBorders>
            <w:tcW w:w="6373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техник по </w:t>
            </w:r>
            <w:r>
              <w:rPr>
                <w:sz w:val="28"/>
                <w:szCs w:val="28"/>
              </w:rPr>
              <w:t xml:space="preserve">компьютерным системам</w:t>
            </w: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Borders/>
            <w:tcW w:w="119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/>
            <w:tcW w:w="234" w:type="dxa"/>
            <w:textDirection w:val="lrTb"/>
            <w:noWrap w:val="false"/>
          </w:tcPr>
          <w:p>
            <w:pPr>
              <w:pBdr/>
              <w:spacing/>
              <w:ind w:firstLine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gridSpan w:val="2"/>
            <w:tcBorders/>
            <w:tcW w:w="708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8"/>
                <w:szCs w:val="28"/>
              </w:rPr>
            </w:pPr>
            <w:r>
              <w:rPr>
                <w:i/>
              </w:rPr>
              <w:t xml:space="preserve">наименование квалификации</w:t>
            </w:r>
            <w:r>
              <w:rPr>
                <w:sz w:val="28"/>
                <w:szCs w:val="28"/>
              </w:rPr>
            </w:r>
          </w:p>
        </w:tc>
      </w:tr>
    </w:tbl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Форма обучения: очная</w:t>
      </w:r>
      <w:r>
        <w:rPr>
          <w:sz w:val="28"/>
          <w:szCs w:val="28"/>
        </w:rPr>
      </w:r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tbl>
      <w:tblPr>
        <w:tblW w:w="10354" w:type="dxa"/>
        <w:tblInd w:w="-431" w:type="dxa"/>
        <w:tblBorders/>
        <w:tblLook w:val="04A0" w:firstRow="1" w:lastRow="0" w:firstColumn="1" w:lastColumn="0" w:noHBand="0" w:noVBand="1"/>
      </w:tblPr>
      <w:tblGrid>
        <w:gridCol w:w="5393"/>
        <w:gridCol w:w="4961"/>
      </w:tblGrid>
      <w:tr>
        <w:trPr/>
        <w:tc>
          <w:tcPr>
            <w:tcBorders/>
            <w:tcW w:w="5393" w:type="dxa"/>
            <w:textDirection w:val="lrTb"/>
            <w:noWrap w:val="false"/>
          </w:tcPr>
          <w:p>
            <w:pPr>
              <w:pBdr/>
              <w:shd w:val="clear" w:color="auto" w:fill="ffffff"/>
              <w:tabs>
                <w:tab w:val="left" w:leader="underscore" w:pos="2443"/>
              </w:tabs>
              <w:spacing w:after="120" w:before="120"/>
              <w:ind/>
              <w:rPr>
                <w:rFonts w:eastAsia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</w: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</w:r>
          </w:p>
        </w:tc>
        <w:tc>
          <w:tcPr>
            <w:tcBorders/>
            <w:tcW w:w="4961" w:type="dxa"/>
            <w:textDirection w:val="lrTb"/>
            <w:noWrap w:val="false"/>
          </w:tcPr>
          <w:p>
            <w:pPr>
              <w:pBdr/>
              <w:shd w:val="clear" w:color="auto" w:fill="ffffff"/>
              <w:spacing w:after="120" w:before="120" w:line="274" w:lineRule="exact"/>
              <w:ind/>
              <w:rPr>
                <w:rFonts w:eastAsia="Times New Roman"/>
                <w:color w:val="000000"/>
                <w:spacing w:val="-2"/>
                <w:sz w:val="28"/>
                <w:szCs w:val="28"/>
              </w:rPr>
            </w:pPr>
            <w:r>
              <w:rPr>
                <w:rFonts w:eastAsia="Times New Roman"/>
                <w:color w:val="000000"/>
                <w:spacing w:val="-2"/>
                <w:sz w:val="28"/>
                <w:szCs w:val="28"/>
              </w:rPr>
              <w:t xml:space="preserve">СОГЛАСОВАНО</w:t>
            </w:r>
            <w:r>
              <w:rPr>
                <w:rFonts w:eastAsia="Times New Roman"/>
                <w:color w:val="000000"/>
                <w:spacing w:val="-2"/>
                <w:sz w:val="28"/>
                <w:szCs w:val="28"/>
              </w:rPr>
            </w:r>
          </w:p>
          <w:p>
            <w:pPr>
              <w:pBdr/>
              <w:shd w:val="clear" w:color="auto" w:fill="ffffff"/>
              <w:tabs>
                <w:tab w:val="left" w:leader="underscore" w:pos="2443"/>
              </w:tabs>
              <w:spacing w:after="120" w:before="120"/>
              <w:ind/>
              <w:rPr>
                <w:rFonts w:eastAsia="Times New Roman"/>
                <w:color w:val="000000"/>
                <w:spacing w:val="-2"/>
                <w:sz w:val="28"/>
                <w:szCs w:val="28"/>
              </w:rPr>
            </w:pPr>
            <w:r>
              <w:rPr>
                <w:rFonts w:eastAsia="Times New Roman"/>
                <w:color w:val="000000"/>
                <w:spacing w:val="-2"/>
                <w:sz w:val="28"/>
                <w:szCs w:val="28"/>
              </w:rPr>
              <w:t xml:space="preserve">Зам.</w:t>
            </w:r>
            <w:r>
              <w:rPr>
                <w:rFonts w:eastAsia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eastAsia="Times New Roman"/>
                <w:color w:val="000000"/>
                <w:spacing w:val="-2"/>
                <w:sz w:val="28"/>
                <w:szCs w:val="28"/>
              </w:rPr>
              <w:t xml:space="preserve">директора ГБПОУ УКРТБ</w:t>
            </w:r>
            <w:r>
              <w:rPr>
                <w:rFonts w:eastAsia="Times New Roman"/>
                <w:color w:val="000000"/>
                <w:spacing w:val="-2"/>
                <w:sz w:val="28"/>
                <w:szCs w:val="28"/>
              </w:rPr>
            </w:r>
          </w:p>
          <w:p>
            <w:pPr>
              <w:pBdr/>
              <w:shd w:val="clear" w:color="auto" w:fill="ffffff"/>
              <w:spacing w:after="120" w:before="120" w:line="274" w:lineRule="exact"/>
              <w:ind/>
              <w:rPr>
                <w:rFonts w:eastAsia="Times New Roman"/>
                <w:color w:val="000000"/>
                <w:spacing w:val="-2"/>
                <w:sz w:val="28"/>
                <w:szCs w:val="28"/>
              </w:rPr>
            </w:pPr>
            <w:r>
              <w:rPr>
                <w:rFonts w:eastAsia="Times New Roman"/>
                <w:color w:val="000000"/>
                <w:spacing w:val="-2"/>
                <w:sz w:val="28"/>
                <w:szCs w:val="28"/>
              </w:rPr>
              <w:t xml:space="preserve">__________________</w:t>
            </w:r>
            <w:r>
              <w:rPr>
                <w:rFonts w:eastAsia="Times New Roman"/>
                <w:color w:val="000000"/>
                <w:spacing w:val="-2"/>
                <w:sz w:val="28"/>
                <w:szCs w:val="28"/>
              </w:rPr>
              <w:t xml:space="preserve">Л.Р. Туктарова</w:t>
            </w:r>
            <w:r>
              <w:rPr>
                <w:rFonts w:eastAsia="Times New Roman"/>
                <w:color w:val="000000"/>
                <w:spacing w:val="-2"/>
                <w:sz w:val="28"/>
                <w:szCs w:val="28"/>
              </w:rPr>
            </w:r>
          </w:p>
          <w:p>
            <w:pPr>
              <w:pBdr/>
              <w:shd w:val="clear" w:color="auto" w:fill="ffffff"/>
              <w:spacing w:after="120" w:before="120" w:line="274" w:lineRule="exact"/>
              <w:ind/>
              <w:rPr>
                <w:rFonts w:eastAsia="Times New Roman"/>
                <w:color w:val="000000"/>
                <w:spacing w:val="-2"/>
                <w:sz w:val="28"/>
                <w:szCs w:val="28"/>
              </w:rPr>
            </w:pPr>
            <w:r>
              <w:rPr>
                <w:rFonts w:eastAsia="Times New Roman"/>
                <w:color w:val="000000"/>
                <w:spacing w:val="-2"/>
                <w:sz w:val="28"/>
                <w:szCs w:val="28"/>
              </w:rPr>
              <w:t xml:space="preserve">Методист</w:t>
            </w:r>
            <w:r>
              <w:rPr>
                <w:rFonts w:eastAsia="Times New Roman"/>
                <w:color w:val="000000"/>
                <w:spacing w:val="-2"/>
                <w:sz w:val="28"/>
                <w:szCs w:val="28"/>
              </w:rPr>
            </w:r>
          </w:p>
          <w:p>
            <w:pPr>
              <w:pBdr/>
              <w:shd w:val="clear" w:color="auto" w:fill="ffffff"/>
              <w:spacing w:after="120" w:before="120" w:line="274" w:lineRule="exact"/>
              <w:ind/>
              <w:rPr>
                <w:rFonts w:eastAsia="Times New Roman"/>
                <w:color w:val="000000"/>
                <w:spacing w:val="-2"/>
                <w:sz w:val="28"/>
                <w:szCs w:val="28"/>
              </w:rPr>
            </w:pPr>
            <w:r>
              <w:rPr>
                <w:rFonts w:eastAsia="Times New Roman"/>
                <w:color w:val="000000"/>
                <w:spacing w:val="-2"/>
                <w:sz w:val="28"/>
                <w:szCs w:val="28"/>
              </w:rPr>
              <w:t xml:space="preserve">_________________</w:t>
            </w:r>
            <w:r>
              <w:rPr>
                <w:rFonts w:eastAsia="Times New Roman"/>
                <w:color w:val="000000"/>
                <w:spacing w:val="-2"/>
                <w:sz w:val="28"/>
                <w:szCs w:val="28"/>
              </w:rPr>
              <w:t xml:space="preserve">Э.Р.Кабирова</w:t>
            </w:r>
            <w:r>
              <w:rPr>
                <w:rFonts w:eastAsia="Times New Roman"/>
                <w:color w:val="000000"/>
                <w:spacing w:val="-2"/>
                <w:sz w:val="28"/>
                <w:szCs w:val="28"/>
              </w:rPr>
            </w:r>
          </w:p>
          <w:p>
            <w:pPr>
              <w:pBdr/>
              <w:shd w:val="clear" w:color="auto" w:fill="ffffff"/>
              <w:spacing w:after="120" w:before="120" w:line="274" w:lineRule="exact"/>
              <w:ind/>
              <w:rPr>
                <w:rFonts w:eastAsia="Times New Roman"/>
                <w:color w:val="000000"/>
                <w:spacing w:val="-2"/>
                <w:sz w:val="28"/>
                <w:szCs w:val="28"/>
              </w:rPr>
            </w:pPr>
            <w:r>
              <w:rPr>
                <w:rFonts w:eastAsia="Times New Roman"/>
                <w:color w:val="000000"/>
                <w:spacing w:val="-2"/>
                <w:sz w:val="28"/>
                <w:szCs w:val="28"/>
              </w:rPr>
            </w:r>
            <w:r>
              <w:rPr>
                <w:rFonts w:eastAsia="Times New Roman"/>
                <w:color w:val="000000"/>
                <w:spacing w:val="-2"/>
                <w:sz w:val="28"/>
                <w:szCs w:val="28"/>
              </w:rPr>
            </w:r>
          </w:p>
          <w:p>
            <w:pPr>
              <w:pBdr/>
              <w:shd w:val="clear" w:color="auto" w:fill="ffffff"/>
              <w:spacing w:after="120" w:before="120" w:line="274" w:lineRule="exact"/>
              <w:ind/>
              <w:rPr>
                <w:rFonts w:eastAsia="Times New Roman"/>
                <w:color w:val="000000"/>
                <w:spacing w:val="-2"/>
                <w:sz w:val="28"/>
                <w:szCs w:val="28"/>
              </w:rPr>
            </w:pPr>
            <w:r>
              <w:rPr>
                <w:rFonts w:eastAsia="Times New Roman"/>
                <w:color w:val="000000"/>
                <w:spacing w:val="-2"/>
                <w:sz w:val="28"/>
                <w:szCs w:val="28"/>
              </w:rPr>
              <w:t xml:space="preserve">Зав. кафедрой</w:t>
            </w:r>
            <w:r>
              <w:rPr>
                <w:rFonts w:eastAsia="Times New Roman"/>
                <w:color w:val="000000"/>
                <w:spacing w:val="-2"/>
                <w:sz w:val="28"/>
                <w:szCs w:val="28"/>
              </w:rPr>
              <w:t xml:space="preserve"> компьютерных</w:t>
            </w:r>
            <w:r>
              <w:rPr>
                <w:rFonts w:eastAsia="Times New Roman"/>
                <w:color w:val="000000"/>
                <w:spacing w:val="-2"/>
                <w:sz w:val="28"/>
                <w:szCs w:val="28"/>
              </w:rPr>
              <w:t xml:space="preserve"> и</w:t>
            </w:r>
            <w:r>
              <w:rPr>
                <w:rFonts w:eastAsia="Times New Roman"/>
                <w:color w:val="000000"/>
                <w:spacing w:val="-2"/>
                <w:sz w:val="28"/>
                <w:szCs w:val="28"/>
              </w:rPr>
              <w:t xml:space="preserve"> мехатронных </w:t>
            </w:r>
            <w:r>
              <w:rPr>
                <w:rFonts w:eastAsia="Times New Roman"/>
                <w:color w:val="000000"/>
                <w:spacing w:val="-2"/>
                <w:sz w:val="28"/>
                <w:szCs w:val="28"/>
              </w:rPr>
              <w:t xml:space="preserve">систем </w:t>
            </w:r>
            <w:r>
              <w:rPr>
                <w:rFonts w:eastAsia="Times New Roman"/>
                <w:color w:val="000000"/>
                <w:spacing w:val="-2"/>
                <w:sz w:val="28"/>
                <w:szCs w:val="28"/>
              </w:rPr>
              <w:t xml:space="preserve">__________________ </w:t>
            </w:r>
            <w:r>
              <w:rPr>
                <w:rFonts w:eastAsia="Times New Roman"/>
                <w:color w:val="000000"/>
                <w:spacing w:val="-2"/>
                <w:sz w:val="28"/>
                <w:szCs w:val="28"/>
              </w:rPr>
              <w:t xml:space="preserve">Г.Г.Хакимова</w:t>
            </w:r>
            <w:r>
              <w:rPr>
                <w:rFonts w:eastAsia="Times New Roman"/>
                <w:color w:val="000000"/>
                <w:spacing w:val="-2"/>
                <w:sz w:val="28"/>
                <w:szCs w:val="28"/>
              </w:rPr>
            </w:r>
          </w:p>
          <w:p>
            <w:pPr>
              <w:pBdr/>
              <w:shd w:val="clear" w:color="auto" w:fill="ffffff"/>
              <w:spacing w:after="120" w:before="120" w:line="274" w:lineRule="exact"/>
              <w:ind/>
              <w:rPr/>
            </w:pPr>
            <w:r/>
            <w:r/>
          </w:p>
        </w:tc>
      </w:tr>
    </w:tbl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>
          <w:sz w:val="22"/>
        </w:rPr>
      </w:pPr>
      <w:r>
        <w:rPr>
          <w:sz w:val="22"/>
        </w:rPr>
      </w:r>
      <w:r>
        <w:rPr>
          <w:sz w:val="22"/>
        </w:rPr>
      </w:r>
    </w:p>
    <w:p>
      <w:pPr>
        <w:pBdr/>
        <w:spacing/>
        <w:ind/>
        <w:jc w:val="center"/>
        <w:rPr/>
      </w:pPr>
      <w:r>
        <w:rPr>
          <w:sz w:val="28"/>
          <w:szCs w:val="24"/>
        </w:rPr>
        <w:t xml:space="preserve">Уфа</w:t>
      </w:r>
      <w:r>
        <w:rPr>
          <w:sz w:val="28"/>
          <w:szCs w:val="24"/>
        </w:rPr>
        <w:t xml:space="preserve"> </w:t>
      </w:r>
      <w:r>
        <w:rPr>
          <w:sz w:val="28"/>
          <w:szCs w:val="24"/>
        </w:rPr>
        <w:t xml:space="preserve">20</w:t>
      </w:r>
      <w:r>
        <w:rPr>
          <w:sz w:val="28"/>
          <w:szCs w:val="24"/>
        </w:rPr>
        <w:t xml:space="preserve">2</w:t>
      </w:r>
      <w:r>
        <w:rPr>
          <w:sz w:val="28"/>
          <w:szCs w:val="24"/>
        </w:rPr>
        <w:t xml:space="preserve">5</w:t>
      </w:r>
      <w:r>
        <w:rPr>
          <w:sz w:val="28"/>
          <w:szCs w:val="24"/>
        </w:rPr>
        <w:t xml:space="preserve"> год</w:t>
      </w:r>
      <w:r>
        <w:rPr>
          <w:sz w:val="28"/>
          <w:szCs w:val="24"/>
        </w:rPr>
        <w:br w:type="page" w:clear="all"/>
      </w:r>
      <w:r/>
    </w:p>
    <w:p>
      <w:pPr>
        <w:pBdr/>
        <w:spacing/>
        <w:ind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Содержание</w:t>
      </w:r>
      <w:r>
        <w:rPr>
          <w:b/>
          <w:sz w:val="28"/>
          <w:szCs w:val="28"/>
        </w:rPr>
      </w:r>
    </w:p>
    <w:p>
      <w:pPr>
        <w:pBdr/>
        <w:spacing/>
        <w:ind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tbl>
      <w:tblPr>
        <w:tblW w:w="0" w:type="auto"/>
        <w:tblBorders/>
        <w:tblLook w:val="04A0" w:firstRow="1" w:lastRow="0" w:firstColumn="1" w:lastColumn="0" w:noHBand="0" w:noVBand="1"/>
      </w:tblPr>
      <w:tblGrid>
        <w:gridCol w:w="9180"/>
      </w:tblGrid>
      <w:tr>
        <w:trPr/>
        <w:tc>
          <w:tcPr>
            <w:shd w:val="clear" w:color="auto" w:fill="auto"/>
            <w:tcBorders/>
            <w:tcW w:w="9180" w:type="dxa"/>
            <w:vAlign w:val="bottom"/>
            <w:textDirection w:val="lrTb"/>
            <w:noWrap w:val="false"/>
          </w:tcPr>
          <w:p>
            <w:pPr>
              <w:pBdr/>
              <w:spacing w:after="120" w:before="120"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Общие п</w:t>
            </w:r>
            <w:r>
              <w:rPr>
                <w:sz w:val="28"/>
                <w:szCs w:val="28"/>
              </w:rPr>
              <w:t xml:space="preserve">оложения……………………………………………..……...…3</w:t>
            </w: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shd w:val="clear" w:color="auto" w:fill="auto"/>
            <w:tcBorders/>
            <w:tcW w:w="9180" w:type="dxa"/>
            <w:vAlign w:val="bottom"/>
            <w:textDirection w:val="lrTb"/>
            <w:noWrap w:val="false"/>
          </w:tcPr>
          <w:p>
            <w:pPr>
              <w:pBdr/>
              <w:spacing w:after="120" w:before="120"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Процедура проведения государ</w:t>
            </w:r>
            <w:r>
              <w:rPr>
                <w:sz w:val="28"/>
                <w:szCs w:val="28"/>
              </w:rPr>
              <w:t xml:space="preserve">ственной итоговой аттестации……..10</w:t>
            </w: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shd w:val="clear" w:color="auto" w:fill="auto"/>
            <w:tcBorders/>
            <w:tcW w:w="9180" w:type="dxa"/>
            <w:vAlign w:val="bottom"/>
            <w:textDirection w:val="lrTb"/>
            <w:noWrap w:val="false"/>
          </w:tcPr>
          <w:p>
            <w:pPr>
              <w:pBdr/>
              <w:spacing w:after="120" w:before="120"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Требования к выпускной квалификационной </w:t>
            </w:r>
            <w:r>
              <w:rPr>
                <w:sz w:val="28"/>
                <w:szCs w:val="28"/>
              </w:rPr>
              <w:t xml:space="preserve">работе………..………13</w:t>
            </w: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shd w:val="clear" w:color="auto" w:fill="auto"/>
            <w:tcBorders/>
            <w:tcW w:w="9180" w:type="dxa"/>
            <w:vAlign w:val="bottom"/>
            <w:textDirection w:val="lrTb"/>
            <w:noWrap w:val="false"/>
          </w:tcPr>
          <w:p>
            <w:pPr>
              <w:pBdr/>
              <w:spacing w:after="120" w:before="120"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Оценка результатов государств</w:t>
            </w:r>
            <w:r>
              <w:rPr>
                <w:sz w:val="28"/>
                <w:szCs w:val="28"/>
              </w:rPr>
              <w:t xml:space="preserve">енной итоговой аттестации...………14</w:t>
            </w: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shd w:val="clear" w:color="auto" w:fill="auto"/>
            <w:tcBorders/>
            <w:tcW w:w="9180" w:type="dxa"/>
            <w:vAlign w:val="bottom"/>
            <w:textDirection w:val="lrTb"/>
            <w:noWrap w:val="false"/>
          </w:tcPr>
          <w:p>
            <w:pPr>
              <w:pBdr/>
              <w:spacing w:after="120" w:before="120"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 Порядок апелляции и пересдачи государственной </w:t>
            </w:r>
            <w:r>
              <w:rPr>
                <w:sz w:val="28"/>
                <w:szCs w:val="28"/>
              </w:rPr>
            </w:r>
          </w:p>
          <w:p>
            <w:pPr>
              <w:pBdr/>
              <w:spacing w:after="120" w:before="120"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итоговой ат</w:t>
            </w:r>
            <w:r>
              <w:rPr>
                <w:sz w:val="28"/>
                <w:szCs w:val="28"/>
              </w:rPr>
              <w:t xml:space="preserve">тестации……………………………………………………....18</w:t>
            </w: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shd w:val="clear" w:color="auto" w:fill="auto"/>
            <w:tcBorders/>
            <w:tcW w:w="9180" w:type="dxa"/>
            <w:vAlign w:val="bottom"/>
            <w:textDirection w:val="lrTb"/>
            <w:noWrap w:val="false"/>
          </w:tcPr>
          <w:p>
            <w:pPr>
              <w:pBdr/>
              <w:spacing w:after="120" w:before="120"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Приложение 1. </w:t>
            </w:r>
            <w:r>
              <w:rPr>
                <w:sz w:val="28"/>
                <w:szCs w:val="28"/>
              </w:rPr>
              <w:t xml:space="preserve">Примерная тематика выпускных квалификационных работ </w:t>
            </w:r>
            <w:r>
              <w:rPr>
                <w:sz w:val="28"/>
                <w:szCs w:val="28"/>
              </w:rPr>
              <w:t xml:space="preserve">………………………………….</w:t>
            </w:r>
            <w:r>
              <w:rPr>
                <w:sz w:val="28"/>
                <w:szCs w:val="28"/>
              </w:rPr>
              <w:t xml:space="preserve">…………………………………..……....20</w:t>
            </w: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shd w:val="clear" w:color="auto" w:fill="auto"/>
            <w:tcBorders/>
            <w:tcW w:w="9180" w:type="dxa"/>
            <w:vAlign w:val="bottom"/>
            <w:textDirection w:val="lrTb"/>
            <w:noWrap w:val="false"/>
          </w:tcPr>
          <w:p>
            <w:pPr>
              <w:pBdr/>
              <w:spacing w:after="120" w:before="120"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pBdr/>
        <w:spacing/>
        <w:ind/>
        <w:jc w:val="center"/>
        <w:rPr>
          <w:b/>
          <w:sz w:val="24"/>
        </w:rPr>
      </w:pPr>
      <w:r>
        <w:rPr>
          <w:b/>
          <w:sz w:val="24"/>
        </w:rPr>
      </w:r>
      <w:r>
        <w:rPr>
          <w:b/>
          <w:sz w:val="24"/>
        </w:rPr>
      </w:r>
    </w:p>
    <w:p>
      <w:pPr>
        <w:pStyle w:val="695"/>
        <w:pBdr/>
        <w:spacing/>
        <w:ind/>
        <w:jc w:val="center"/>
        <w:rPr>
          <w:b/>
        </w:rPr>
      </w:pPr>
      <w:r>
        <w:rPr>
          <w:b/>
        </w:rPr>
        <w:br w:type="page" w:clear="all"/>
      </w:r>
      <w:r>
        <w:rPr>
          <w:b/>
        </w:rPr>
        <w:t xml:space="preserve">1. </w:t>
      </w:r>
      <w:r>
        <w:rPr>
          <w:b/>
        </w:rPr>
        <w:t xml:space="preserve">ОБЩИЕ ПОЛОЖЕНИЯ</w:t>
      </w:r>
      <w:r>
        <w:rPr>
          <w:b/>
        </w:rPr>
      </w:r>
    </w:p>
    <w:p>
      <w:pPr>
        <w:pStyle w:val="695"/>
        <w:pBdr/>
        <w:spacing/>
        <w:ind/>
        <w:rPr/>
      </w:pPr>
      <w:r/>
      <w:r/>
    </w:p>
    <w:p>
      <w:pPr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1.1. Область применения программы ГИА</w:t>
      </w:r>
      <w:r>
        <w:rPr>
          <w:b/>
          <w:sz w:val="24"/>
          <w:szCs w:val="24"/>
        </w:rPr>
      </w:r>
    </w:p>
    <w:p>
      <w:pPr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Программа государственной итоговой аттестации (далее – ГИА) является частью программы подготовки специалистов среднего звена в соответствии с ФГОС СПО по специальности:</w:t>
      </w:r>
      <w:r>
        <w:rPr>
          <w:sz w:val="24"/>
          <w:szCs w:val="24"/>
        </w:rPr>
      </w:r>
    </w:p>
    <w:tbl>
      <w:tblPr>
        <w:tblW w:w="0" w:type="auto"/>
        <w:tblBorders>
          <w:bottom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1196"/>
        <w:gridCol w:w="234"/>
        <w:gridCol w:w="7097"/>
      </w:tblGrid>
      <w:tr>
        <w:trPr/>
        <w:tc>
          <w:tcPr>
            <w:tcBorders>
              <w:right w:val="none" w:color="000000" w:sz="4" w:space="0"/>
            </w:tcBorders>
            <w:tcW w:w="119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09.02.01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4" w:type="dxa"/>
            <w:textDirection w:val="lrTb"/>
            <w:noWrap w:val="false"/>
          </w:tcPr>
          <w:p>
            <w:pPr>
              <w:pBdr/>
              <w:spacing/>
              <w:ind w:firstLine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</w:tcBorders>
            <w:tcW w:w="7097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Компьютерные системы и комплексы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>
              <w:bottom w:val="none" w:color="000000" w:sz="4" w:space="0"/>
              <w:right w:val="none" w:color="000000" w:sz="4" w:space="0"/>
            </w:tcBorders>
            <w:tcW w:w="119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код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4" w:type="dxa"/>
            <w:textDirection w:val="lrTb"/>
            <w:noWrap w:val="false"/>
          </w:tcPr>
          <w:p>
            <w:pPr>
              <w:pBdr/>
              <w:spacing/>
              <w:ind w:firstLine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none" w:color="000000" w:sz="4" w:space="0"/>
            </w:tcBorders>
            <w:tcW w:w="709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наименование специальности</w:t>
            </w:r>
            <w:r>
              <w:rPr>
                <w:sz w:val="24"/>
                <w:szCs w:val="24"/>
              </w:rPr>
            </w:r>
          </w:p>
        </w:tc>
      </w:tr>
    </w:tbl>
    <w:p>
      <w:pPr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утвержденного Приказом Министерства образования и науки </w:t>
      </w:r>
      <w:r>
        <w:rPr>
          <w:sz w:val="24"/>
          <w:szCs w:val="24"/>
        </w:rPr>
        <w:t xml:space="preserve">28 июля</w:t>
      </w:r>
      <w:r>
        <w:rPr>
          <w:sz w:val="24"/>
          <w:szCs w:val="24"/>
        </w:rPr>
        <w:t xml:space="preserve"> 201</w:t>
      </w:r>
      <w:r>
        <w:rPr>
          <w:sz w:val="24"/>
          <w:szCs w:val="24"/>
        </w:rPr>
        <w:t xml:space="preserve">4</w:t>
      </w:r>
      <w:r>
        <w:rPr>
          <w:sz w:val="24"/>
          <w:szCs w:val="24"/>
        </w:rPr>
        <w:t xml:space="preserve"> года № </w:t>
      </w:r>
      <w:r>
        <w:rPr>
          <w:sz w:val="24"/>
          <w:szCs w:val="24"/>
        </w:rPr>
        <w:t xml:space="preserve">849</w:t>
      </w:r>
      <w:r>
        <w:rPr>
          <w:sz w:val="24"/>
          <w:szCs w:val="24"/>
        </w:rPr>
        <w:t xml:space="preserve"> (зарегистрирован Министерством юстиции Российской Федерации 2</w:t>
      </w:r>
      <w:r>
        <w:rPr>
          <w:sz w:val="24"/>
          <w:szCs w:val="24"/>
        </w:rPr>
        <w:t xml:space="preserve">1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августа</w:t>
      </w:r>
      <w:r>
        <w:rPr>
          <w:sz w:val="24"/>
          <w:szCs w:val="24"/>
        </w:rPr>
        <w:t xml:space="preserve"> 201</w:t>
      </w:r>
      <w:r>
        <w:rPr>
          <w:sz w:val="24"/>
          <w:szCs w:val="24"/>
        </w:rPr>
        <w:t xml:space="preserve">4</w:t>
      </w:r>
      <w:r>
        <w:rPr>
          <w:sz w:val="24"/>
          <w:szCs w:val="24"/>
        </w:rPr>
        <w:t xml:space="preserve">г., регистрационный №</w:t>
      </w:r>
      <w:r>
        <w:rPr>
          <w:sz w:val="24"/>
          <w:szCs w:val="24"/>
        </w:rPr>
        <w:t xml:space="preserve"> 33748</w:t>
      </w:r>
      <w:r>
        <w:rPr>
          <w:sz w:val="24"/>
          <w:szCs w:val="24"/>
        </w:rPr>
        <w:t xml:space="preserve">).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Квалификация выпускника: </w:t>
      </w:r>
      <w:r>
        <w:rPr>
          <w:sz w:val="24"/>
          <w:szCs w:val="24"/>
        </w:rPr>
        <w:t xml:space="preserve">техник по </w:t>
      </w:r>
      <w:r>
        <w:rPr>
          <w:sz w:val="24"/>
          <w:szCs w:val="24"/>
        </w:rPr>
        <w:t xml:space="preserve">компьютерным системам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Образовательная программа реализуется на базе </w:t>
      </w:r>
      <w:r>
        <w:rPr>
          <w:sz w:val="24"/>
          <w:szCs w:val="24"/>
        </w:rPr>
        <w:t xml:space="preserve">основного общего образования.</w:t>
      </w:r>
      <w:r>
        <w:rPr>
          <w:sz w:val="24"/>
          <w:szCs w:val="24"/>
        </w:rPr>
      </w:r>
    </w:p>
    <w:p>
      <w:pPr>
        <w:pBdr/>
        <w:spacing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1.2. Цели и задачи государственной итоговой аттестации</w:t>
      </w:r>
      <w:r>
        <w:rPr>
          <w:b/>
          <w:sz w:val="24"/>
          <w:szCs w:val="24"/>
        </w:rPr>
      </w:r>
    </w:p>
    <w:p>
      <w:pPr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Целью государственной итоговой аттестации является установление соответствия уровня освоенности компетенций, обеспечивающих соответствующую квалификацию и уровень образования обучающихся, Федеральному государственному образовательному стандарту с</w:t>
      </w:r>
      <w:r>
        <w:rPr>
          <w:sz w:val="24"/>
          <w:szCs w:val="24"/>
        </w:rPr>
        <w:t xml:space="preserve">реднего профессионального образования. ГИА призвана способствовать систематизации и закреплению знаний и умений обучающегося по специальности при решении конкретных профессиональных задач, определить уровень подготовки выпускника к самостоятельной работе. 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1.3. Нормативные правовые документы и локальные акты, регулирующие вопросы организации и проведения ГИА</w:t>
      </w:r>
      <w:r>
        <w:rPr>
          <w:b/>
          <w:sz w:val="24"/>
          <w:szCs w:val="24"/>
        </w:rPr>
      </w:r>
    </w:p>
    <w:p>
      <w:pPr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Федеральный закон от 29 декабря 2012 г. № 273-ФЗ «Об образовании в Российской Федерации» (с изменениями);</w:t>
      </w:r>
      <w:r>
        <w:rPr>
          <w:sz w:val="24"/>
          <w:szCs w:val="24"/>
        </w:rPr>
      </w:r>
    </w:p>
    <w:p>
      <w:pPr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Федеральный государственный стандарт среднего профессионального образования по специальности 09.02.0</w:t>
      </w:r>
      <w:r>
        <w:rPr>
          <w:sz w:val="24"/>
          <w:szCs w:val="24"/>
        </w:rPr>
        <w:t xml:space="preserve">1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Компьютерные</w:t>
      </w:r>
      <w:r>
        <w:rPr>
          <w:sz w:val="24"/>
          <w:szCs w:val="24"/>
        </w:rPr>
        <w:t xml:space="preserve"> системы и </w:t>
      </w:r>
      <w:r>
        <w:rPr>
          <w:sz w:val="24"/>
          <w:szCs w:val="24"/>
        </w:rPr>
        <w:t xml:space="preserve">комплексы</w:t>
      </w:r>
      <w:r>
        <w:rPr>
          <w:sz w:val="24"/>
          <w:szCs w:val="24"/>
        </w:rPr>
        <w:t xml:space="preserve">, утвержденный</w:t>
      </w:r>
      <w:r>
        <w:rPr>
          <w:sz w:val="24"/>
          <w:szCs w:val="24"/>
        </w:rPr>
        <w:t xml:space="preserve"> Приказом Министерства образования и </w:t>
      </w:r>
      <w:r>
        <w:rPr>
          <w:sz w:val="24"/>
          <w:szCs w:val="24"/>
        </w:rPr>
        <w:t xml:space="preserve">28 июля</w:t>
      </w:r>
      <w:r>
        <w:rPr>
          <w:sz w:val="24"/>
          <w:szCs w:val="24"/>
        </w:rPr>
        <w:t xml:space="preserve"> 201</w:t>
      </w:r>
      <w:r>
        <w:rPr>
          <w:sz w:val="24"/>
          <w:szCs w:val="24"/>
        </w:rPr>
        <w:t xml:space="preserve">4</w:t>
      </w:r>
      <w:r>
        <w:rPr>
          <w:sz w:val="24"/>
          <w:szCs w:val="24"/>
        </w:rPr>
        <w:t xml:space="preserve"> года № </w:t>
      </w:r>
      <w:r>
        <w:rPr>
          <w:sz w:val="24"/>
          <w:szCs w:val="24"/>
        </w:rPr>
        <w:t xml:space="preserve">849</w:t>
      </w:r>
      <w:r>
        <w:rPr>
          <w:sz w:val="24"/>
          <w:szCs w:val="24"/>
        </w:rPr>
        <w:t xml:space="preserve"> (зарегистрирован Министерством юстиции Российской Федерации 2</w:t>
      </w:r>
      <w:r>
        <w:rPr>
          <w:sz w:val="24"/>
          <w:szCs w:val="24"/>
        </w:rPr>
        <w:t xml:space="preserve">1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августа</w:t>
      </w:r>
      <w:r>
        <w:rPr>
          <w:sz w:val="24"/>
          <w:szCs w:val="24"/>
        </w:rPr>
        <w:t xml:space="preserve"> 201</w:t>
      </w:r>
      <w:r>
        <w:rPr>
          <w:sz w:val="24"/>
          <w:szCs w:val="24"/>
        </w:rPr>
        <w:t xml:space="preserve">4</w:t>
      </w:r>
      <w:r>
        <w:rPr>
          <w:sz w:val="24"/>
          <w:szCs w:val="24"/>
        </w:rPr>
        <w:t xml:space="preserve">г., регистрационный №</w:t>
      </w:r>
      <w:r>
        <w:rPr>
          <w:sz w:val="24"/>
          <w:szCs w:val="24"/>
        </w:rPr>
        <w:t xml:space="preserve"> 33748</w:t>
      </w:r>
      <w:r>
        <w:rPr>
          <w:sz w:val="24"/>
          <w:szCs w:val="24"/>
        </w:rPr>
        <w:t xml:space="preserve">;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</w:p>
    <w:p>
      <w:pPr>
        <w:pBdr/>
        <w:shd w:val="clear" w:color="auto" w:fill="ffffff" w:themeFill="background1"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Приказ Мини</w:t>
      </w:r>
      <w:r>
        <w:rPr>
          <w:sz w:val="24"/>
          <w:szCs w:val="24"/>
        </w:rPr>
        <w:t xml:space="preserve">стерства просвещения Российской Федерации от 24 августа 2022 г. №762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 (вступает в силу с 1 марта 2023 г.);</w:t>
      </w:r>
      <w:r>
        <w:rPr>
          <w:sz w:val="24"/>
          <w:szCs w:val="24"/>
        </w:rPr>
      </w:r>
    </w:p>
    <w:p>
      <w:pPr>
        <w:pBdr/>
        <w:shd w:val="clear" w:color="auto" w:fill="ffffff" w:themeFill="background1"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Приказ Министерства просвещения Российской Федерации от 8 ноября 2021 г. №800 «Об утверждении Порядка проведения государственной итоговой аттестации по образовательным программам среднего профессионального образования»;</w:t>
      </w:r>
      <w:r>
        <w:rPr>
          <w:sz w:val="24"/>
          <w:szCs w:val="24"/>
        </w:rPr>
      </w:r>
    </w:p>
    <w:p>
      <w:pPr>
        <w:pBdr/>
        <w:shd w:val="clear" w:color="auto" w:fill="ffffff" w:themeFill="background1"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Приказ Министерства просвещения Ро</w:t>
      </w:r>
      <w:r>
        <w:rPr>
          <w:sz w:val="24"/>
          <w:szCs w:val="24"/>
        </w:rPr>
        <w:t xml:space="preserve">ссийской Федерации от 17 мая 2022 г. №336 «Об утверждении перечней профессий и специальностей среднего профессионального образования и установлении соответствия отдельных профессий и специальностей среднего профессионального образования, указанных в этих п</w:t>
      </w:r>
      <w:r>
        <w:rPr>
          <w:sz w:val="24"/>
          <w:szCs w:val="24"/>
        </w:rPr>
        <w:t xml:space="preserve">еречнях, профессиям и специальностям среднего профессионального образования, перечни которых утверждены приказом Министерства образования и науки Российской Федерации от 29 октября 2013 г. № 1199 «Об утверждении перечней профессий и специальностей среднего</w:t>
      </w:r>
      <w:r>
        <w:rPr>
          <w:sz w:val="24"/>
          <w:szCs w:val="24"/>
        </w:rPr>
        <w:t xml:space="preserve"> профессионального образования».</w:t>
      </w:r>
      <w:r>
        <w:rPr>
          <w:sz w:val="24"/>
          <w:szCs w:val="24"/>
        </w:rPr>
      </w:r>
    </w:p>
    <w:p>
      <w:pPr>
        <w:pBdr/>
        <w:shd w:val="clear" w:color="auto" w:fill="ffffff" w:themeFill="background1"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1.4 Формы</w:t>
      </w:r>
      <w:r>
        <w:rPr>
          <w:b/>
          <w:sz w:val="24"/>
          <w:szCs w:val="24"/>
        </w:rPr>
        <w:t xml:space="preserve"> проведения государственной итоговой аттестации</w:t>
      </w:r>
      <w:r>
        <w:rPr>
          <w:b/>
          <w:sz w:val="24"/>
          <w:szCs w:val="24"/>
        </w:rPr>
      </w:r>
    </w:p>
    <w:p>
      <w:pPr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Государственная итоговая аттестация в соответствии с ФГОС СПО проводится в форме защиты выпускной квалификационной работы, которая выполняется в виде дипломной работы (дипломного проекта).</w:t>
      </w:r>
      <w:r>
        <w:rPr>
          <w:sz w:val="24"/>
          <w:szCs w:val="24"/>
        </w:rPr>
      </w:r>
    </w:p>
    <w:p>
      <w:pPr>
        <w:pBdr/>
        <w:spacing/>
        <w:ind w:firstLine="709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</w:t>
      </w:r>
      <w:r>
        <w:rPr>
          <w:b/>
          <w:sz w:val="24"/>
          <w:szCs w:val="24"/>
        </w:rPr>
        <w:t xml:space="preserve">5</w:t>
      </w:r>
      <w:r>
        <w:rPr>
          <w:b/>
          <w:sz w:val="24"/>
          <w:szCs w:val="24"/>
        </w:rPr>
        <w:t xml:space="preserve"> Требования </w:t>
      </w:r>
      <w:r>
        <w:rPr>
          <w:b/>
          <w:sz w:val="24"/>
          <w:szCs w:val="24"/>
        </w:rPr>
        <w:t xml:space="preserve">к уровню подготовки выпускника по профессиональной образовательной программе </w:t>
      </w:r>
      <w:r>
        <w:rPr>
          <w:b/>
          <w:sz w:val="24"/>
          <w:szCs w:val="24"/>
        </w:rPr>
        <w:t xml:space="preserve">базов</w:t>
      </w:r>
      <w:r>
        <w:rPr>
          <w:b/>
          <w:sz w:val="24"/>
          <w:szCs w:val="24"/>
        </w:rPr>
        <w:t xml:space="preserve">ой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подготовки</w:t>
      </w:r>
      <w:r>
        <w:rPr>
          <w:b/>
          <w:sz w:val="24"/>
          <w:szCs w:val="24"/>
        </w:rPr>
      </w:r>
    </w:p>
    <w:p>
      <w:pPr>
        <w:pBdr/>
        <w:spacing/>
        <w:ind w:firstLine="709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</w:t>
      </w:r>
      <w:r>
        <w:rPr>
          <w:sz w:val="24"/>
          <w:szCs w:val="24"/>
        </w:rPr>
        <w:t xml:space="preserve">5</w:t>
      </w:r>
      <w:r>
        <w:rPr>
          <w:sz w:val="24"/>
          <w:szCs w:val="24"/>
        </w:rPr>
        <w:t xml:space="preserve">.1 </w:t>
      </w:r>
      <w:r>
        <w:rPr>
          <w:sz w:val="24"/>
          <w:szCs w:val="24"/>
        </w:rPr>
        <w:t xml:space="preserve">Иметь практический опыт</w:t>
      </w:r>
      <w:r>
        <w:rPr>
          <w:sz w:val="24"/>
          <w:szCs w:val="24"/>
        </w:rPr>
      </w:r>
    </w:p>
    <w:p>
      <w:pPr>
        <w:pBdr/>
        <w:spacing/>
        <w:ind w:firstLine="72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- применения интегральных схем разной степени интеграции при разработке цифровых устройств и проверки их на работоспособность;</w:t>
      </w:r>
      <w:r>
        <w:rPr>
          <w:rFonts w:eastAsia="Calibri"/>
          <w:sz w:val="24"/>
          <w:szCs w:val="24"/>
        </w:rPr>
      </w:r>
    </w:p>
    <w:p>
      <w:pPr>
        <w:pBdr/>
        <w:spacing/>
        <w:ind w:firstLine="72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- проектирования цифровых устройств на основе пакетов прикладных программ;</w:t>
      </w:r>
      <w:r>
        <w:rPr>
          <w:rFonts w:eastAsia="Calibri"/>
          <w:sz w:val="24"/>
          <w:szCs w:val="24"/>
        </w:rPr>
      </w:r>
    </w:p>
    <w:p>
      <w:pPr>
        <w:pBdr/>
        <w:spacing/>
        <w:ind w:firstLine="72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- оценки качества и надежности цифровых устройств;</w:t>
      </w:r>
      <w:r>
        <w:rPr>
          <w:rFonts w:eastAsia="Calibri"/>
          <w:sz w:val="24"/>
          <w:szCs w:val="24"/>
        </w:rPr>
      </w:r>
    </w:p>
    <w:p>
      <w:pPr>
        <w:pBdr/>
        <w:spacing/>
        <w:ind w:firstLine="72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- применения нормативно-технической документации;</w:t>
      </w:r>
      <w:r>
        <w:rPr>
          <w:rFonts w:eastAsia="Calibri"/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создания программ на языке ассемблера для микропроцессорных систем;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тестирования и отладки микропроцессорных систем;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применения микропроцессорных систем;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установки и конфигурирования микропроцессорных систем и подключения периферийных устройств;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выявления и устранения причин неисправностей и сбоев периферийного оборудования;</w:t>
      </w:r>
      <w:r>
        <w:rPr>
          <w:sz w:val="24"/>
          <w:szCs w:val="24"/>
        </w:rPr>
      </w:r>
    </w:p>
    <w:p>
      <w:pPr>
        <w:widowControl w:val="true"/>
        <w:numPr>
          <w:ilvl w:val="0"/>
          <w:numId w:val="1"/>
        </w:numPr>
        <w:pBdr/>
        <w:tabs>
          <w:tab w:val="num" w:leader="none" w:pos="0"/>
          <w:tab w:val="left" w:leader="none" w:pos="993"/>
        </w:tabs>
        <w:spacing/>
        <w:ind w:firstLine="709"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проведения контроля, диагностики и восстановления работоспособности компьютерных систем и комплексов;</w:t>
      </w:r>
      <w:r>
        <w:rPr>
          <w:sz w:val="24"/>
          <w:szCs w:val="24"/>
        </w:rPr>
      </w:r>
    </w:p>
    <w:p>
      <w:pPr>
        <w:widowControl w:val="true"/>
        <w:numPr>
          <w:ilvl w:val="0"/>
          <w:numId w:val="1"/>
        </w:numPr>
        <w:pBdr/>
        <w:tabs>
          <w:tab w:val="num" w:leader="none" w:pos="0"/>
          <w:tab w:val="left" w:leader="none" w:pos="993"/>
        </w:tabs>
        <w:spacing/>
        <w:ind w:firstLine="709"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системотехнического обслуживания компьютерных систем и комплексов;</w:t>
      </w:r>
      <w:r>
        <w:rPr>
          <w:sz w:val="24"/>
          <w:szCs w:val="24"/>
        </w:rPr>
      </w:r>
    </w:p>
    <w:p>
      <w:pPr>
        <w:widowControl w:val="true"/>
        <w:numPr>
          <w:ilvl w:val="0"/>
          <w:numId w:val="1"/>
        </w:numPr>
        <w:pBdr/>
        <w:tabs>
          <w:tab w:val="num" w:leader="none" w:pos="0"/>
          <w:tab w:val="left" w:leader="none" w:pos="993"/>
        </w:tabs>
        <w:spacing/>
        <w:ind w:firstLine="709"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отладки аппаратно-программных систем и комплексов;</w:t>
      </w:r>
      <w:r>
        <w:rPr>
          <w:sz w:val="24"/>
          <w:szCs w:val="24"/>
        </w:rPr>
      </w:r>
    </w:p>
    <w:p>
      <w:pPr>
        <w:widowControl w:val="true"/>
        <w:numPr>
          <w:ilvl w:val="0"/>
          <w:numId w:val="1"/>
        </w:numPr>
        <w:pBdr/>
        <w:tabs>
          <w:tab w:val="num" w:leader="none" w:pos="0"/>
          <w:tab w:val="left" w:leader="none" w:pos="993"/>
        </w:tabs>
        <w:spacing/>
        <w:ind w:firstLine="709"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инсталляции, конфигурирования и настройки операционной системы, драйверов, резидентных прогр</w:t>
      </w:r>
      <w:r>
        <w:rPr>
          <w:sz w:val="24"/>
          <w:szCs w:val="24"/>
        </w:rPr>
        <w:t xml:space="preserve">амм;</w:t>
      </w:r>
      <w:r>
        <w:rPr>
          <w:sz w:val="24"/>
          <w:szCs w:val="24"/>
        </w:rPr>
      </w:r>
    </w:p>
    <w:p>
      <w:pPr>
        <w:pStyle w:val="705"/>
        <w:numPr>
          <w:ilvl w:val="0"/>
          <w:numId w:val="1"/>
        </w:numPr>
        <w:pBdr/>
        <w:shd w:val="clear" w:color="auto" w:fill="ffffff"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ввода и обработки информации на электронно-вычислительных машинах;</w:t>
      </w:r>
      <w:r>
        <w:rPr>
          <w:sz w:val="24"/>
          <w:szCs w:val="24"/>
        </w:rPr>
      </w:r>
    </w:p>
    <w:p>
      <w:pPr>
        <w:pStyle w:val="705"/>
        <w:numPr>
          <w:ilvl w:val="0"/>
          <w:numId w:val="1"/>
        </w:numPr>
        <w:pBdr/>
        <w:shd w:val="clear" w:color="auto" w:fill="ffffff"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подготовки к работе вычислительной техники и периферийных устройств.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</w:t>
      </w:r>
      <w:r>
        <w:rPr>
          <w:sz w:val="24"/>
          <w:szCs w:val="24"/>
        </w:rPr>
        <w:t xml:space="preserve">5</w:t>
      </w:r>
      <w:r>
        <w:rPr>
          <w:sz w:val="24"/>
          <w:szCs w:val="24"/>
        </w:rPr>
        <w:t xml:space="preserve">.2 Уметь</w:t>
      </w:r>
      <w:r>
        <w:rPr>
          <w:sz w:val="24"/>
          <w:szCs w:val="24"/>
        </w:rPr>
      </w:r>
    </w:p>
    <w:p>
      <w:pPr>
        <w:pBdr/>
        <w:spacing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выполнять анализ и синтез комбинационных схем;</w:t>
      </w:r>
      <w:r>
        <w:rPr>
          <w:sz w:val="24"/>
          <w:szCs w:val="24"/>
        </w:rPr>
      </w:r>
    </w:p>
    <w:p>
      <w:pPr>
        <w:pBdr/>
        <w:spacing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проводить исследования работы цифровых устройств и проверку их на работоспособность;</w:t>
      </w:r>
      <w:r>
        <w:rPr>
          <w:sz w:val="24"/>
          <w:szCs w:val="24"/>
        </w:rPr>
      </w:r>
    </w:p>
    <w:p>
      <w:pPr>
        <w:pBdr/>
        <w:spacing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разрабатывать схемы цифровых устройств на основе интегральных схем разной степени интеграции;</w:t>
      </w:r>
      <w:r>
        <w:rPr>
          <w:sz w:val="24"/>
          <w:szCs w:val="24"/>
        </w:rPr>
      </w:r>
    </w:p>
    <w:p>
      <w:pPr>
        <w:pBdr/>
        <w:spacing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выполнять требования технического задания на проектирование цифровых устройств;</w:t>
      </w:r>
      <w:r>
        <w:rPr>
          <w:sz w:val="24"/>
          <w:szCs w:val="24"/>
        </w:rPr>
      </w:r>
    </w:p>
    <w:p>
      <w:pPr>
        <w:pBdr/>
        <w:spacing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проектировать топологию печатных плат, конструктивно-технологические модули первого уровня с применением пакетов прикладных программ;</w:t>
      </w:r>
      <w:r>
        <w:rPr>
          <w:sz w:val="24"/>
          <w:szCs w:val="24"/>
        </w:rPr>
      </w:r>
    </w:p>
    <w:p>
      <w:pPr>
        <w:pBdr/>
        <w:spacing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разрабатывать комплект конструкторской документации с использованием системы автоматизированного проектирования;</w:t>
      </w:r>
      <w:r>
        <w:rPr>
          <w:sz w:val="24"/>
          <w:szCs w:val="24"/>
        </w:rPr>
      </w:r>
    </w:p>
    <w:p>
      <w:pPr>
        <w:pBdr/>
        <w:spacing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определять показатели надежности и давать оценку качества средств вычислительной техники (далее – СВТ);</w:t>
      </w:r>
      <w:r>
        <w:rPr>
          <w:sz w:val="24"/>
          <w:szCs w:val="24"/>
        </w:rPr>
      </w:r>
    </w:p>
    <w:p>
      <w:pPr>
        <w:pBdr/>
        <w:spacing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выполнять требования нормативно-технической документации.</w:t>
      </w:r>
      <w:r>
        <w:rPr>
          <w:sz w:val="24"/>
          <w:szCs w:val="24"/>
        </w:rPr>
      </w:r>
    </w:p>
    <w:p>
      <w:pPr>
        <w:widowControl w:val="true"/>
        <w:pBdr/>
        <w:spacing/>
        <w:ind w:firstLine="7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составлять программы на языке ассемблера для микропроцессорных систем;</w:t>
      </w:r>
      <w:r>
        <w:rPr>
          <w:rFonts w:eastAsia="Times New Roman"/>
          <w:sz w:val="24"/>
          <w:szCs w:val="24"/>
        </w:rPr>
      </w:r>
    </w:p>
    <w:p>
      <w:pPr>
        <w:widowControl w:val="true"/>
        <w:pBdr/>
        <w:spacing/>
        <w:ind w:firstLine="7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производить тестирование и отладку микропроцессорных систем (далее - МПС);</w:t>
      </w:r>
      <w:r>
        <w:rPr>
          <w:rFonts w:eastAsia="Times New Roman"/>
          <w:sz w:val="24"/>
          <w:szCs w:val="24"/>
        </w:rPr>
      </w:r>
    </w:p>
    <w:p>
      <w:pPr>
        <w:widowControl w:val="true"/>
        <w:pBdr/>
        <w:spacing/>
        <w:ind w:firstLine="7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выбирать микроконтроллер/ микропроцессор для конкретной системы управления;</w:t>
      </w:r>
      <w:r>
        <w:rPr>
          <w:rFonts w:eastAsia="Times New Roman"/>
          <w:sz w:val="24"/>
          <w:szCs w:val="24"/>
        </w:rPr>
      </w:r>
    </w:p>
    <w:p>
      <w:pPr>
        <w:widowControl w:val="true"/>
        <w:pBdr/>
        <w:spacing/>
        <w:ind w:firstLine="7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осуществлять установку и </w:t>
      </w:r>
      <w:r>
        <w:rPr>
          <w:rFonts w:eastAsia="Times New Roman"/>
          <w:sz w:val="24"/>
          <w:szCs w:val="24"/>
        </w:rPr>
        <w:t xml:space="preserve">конфигурирование персональных компьютеров,</w:t>
      </w:r>
      <w:r>
        <w:rPr>
          <w:rFonts w:eastAsia="Times New Roman"/>
          <w:sz w:val="24"/>
          <w:szCs w:val="24"/>
        </w:rPr>
        <w:t xml:space="preserve"> и подключение периферийных устройств;</w:t>
      </w:r>
      <w:r>
        <w:rPr>
          <w:rFonts w:eastAsia="Times New Roman"/>
          <w:sz w:val="24"/>
          <w:szCs w:val="24"/>
        </w:rPr>
      </w:r>
    </w:p>
    <w:p>
      <w:pPr>
        <w:widowControl w:val="true"/>
        <w:pBdr/>
        <w:spacing/>
        <w:ind w:firstLine="7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подготавливать компьютерную систему к работе;</w:t>
      </w:r>
      <w:r>
        <w:rPr>
          <w:rFonts w:eastAsia="Times New Roman"/>
          <w:sz w:val="24"/>
          <w:szCs w:val="24"/>
        </w:rPr>
      </w:r>
    </w:p>
    <w:p>
      <w:pPr>
        <w:widowControl w:val="true"/>
        <w:pBdr/>
        <w:spacing/>
        <w:ind w:firstLine="7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проводить инсталляцию и настройку компьютерных систем;</w:t>
      </w:r>
      <w:r>
        <w:rPr>
          <w:rFonts w:eastAsia="Times New Roman"/>
          <w:sz w:val="24"/>
          <w:szCs w:val="24"/>
        </w:rPr>
      </w:r>
    </w:p>
    <w:p>
      <w:pPr>
        <w:widowControl w:val="true"/>
        <w:pBdr/>
        <w:spacing/>
        <w:ind w:firstLine="7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выявлять причины неисправностей и сбоев, принимать меры по их устранению;</w:t>
      </w:r>
      <w:r>
        <w:rPr>
          <w:rFonts w:eastAsia="Times New Roman"/>
          <w:sz w:val="24"/>
          <w:szCs w:val="24"/>
        </w:rPr>
      </w:r>
    </w:p>
    <w:p>
      <w:pPr>
        <w:widowControl w:val="true"/>
        <w:numPr>
          <w:ilvl w:val="0"/>
          <w:numId w:val="1"/>
        </w:numPr>
        <w:pBdr/>
        <w:shd w:val="clear" w:color="auto" w:fill="ffffff"/>
        <w:tabs>
          <w:tab w:val="left" w:leader="none" w:pos="993"/>
        </w:tabs>
        <w:spacing/>
        <w:ind w:firstLine="709"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проводить контроль, диагностику и восстановление работоспособности компьютерных систем и комплексов;</w:t>
      </w:r>
      <w:r>
        <w:rPr>
          <w:sz w:val="24"/>
          <w:szCs w:val="24"/>
        </w:rPr>
      </w:r>
    </w:p>
    <w:p>
      <w:pPr>
        <w:widowControl w:val="true"/>
        <w:numPr>
          <w:ilvl w:val="0"/>
          <w:numId w:val="1"/>
        </w:numPr>
        <w:pBdr/>
        <w:shd w:val="clear" w:color="auto" w:fill="ffffff"/>
        <w:tabs>
          <w:tab w:val="left" w:leader="none" w:pos="993"/>
        </w:tabs>
        <w:spacing/>
        <w:ind w:firstLine="709"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проводить системотехническое обслуживание компьютерных систем и комплексов;</w:t>
      </w:r>
      <w:r>
        <w:rPr>
          <w:sz w:val="24"/>
          <w:szCs w:val="24"/>
        </w:rPr>
      </w:r>
    </w:p>
    <w:p>
      <w:pPr>
        <w:widowControl w:val="true"/>
        <w:numPr>
          <w:ilvl w:val="0"/>
          <w:numId w:val="1"/>
        </w:numPr>
        <w:pBdr/>
        <w:shd w:val="clear" w:color="auto" w:fill="ffffff"/>
        <w:tabs>
          <w:tab w:val="left" w:leader="none" w:pos="993"/>
        </w:tabs>
        <w:spacing/>
        <w:ind w:firstLine="709"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принимать участие в отладке и технических испытаниях компьютерных систем и комплексов;</w:t>
      </w:r>
      <w:r>
        <w:rPr>
          <w:sz w:val="24"/>
          <w:szCs w:val="24"/>
        </w:rPr>
      </w:r>
    </w:p>
    <w:p>
      <w:pPr>
        <w:widowControl w:val="true"/>
        <w:numPr>
          <w:ilvl w:val="0"/>
          <w:numId w:val="1"/>
        </w:numPr>
        <w:pBdr/>
        <w:shd w:val="clear" w:color="auto" w:fill="ffffff"/>
        <w:tabs>
          <w:tab w:val="left" w:leader="none" w:pos="993"/>
        </w:tabs>
        <w:spacing/>
        <w:ind w:firstLine="709"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инсталляции, конфигурировании и настройке операционной системы, драйверов, резидентных программ;</w:t>
      </w:r>
      <w:r>
        <w:rPr>
          <w:sz w:val="24"/>
          <w:szCs w:val="24"/>
        </w:rPr>
      </w:r>
    </w:p>
    <w:p>
      <w:pPr>
        <w:widowControl w:val="true"/>
        <w:numPr>
          <w:ilvl w:val="0"/>
          <w:numId w:val="1"/>
        </w:numPr>
        <w:pBdr/>
        <w:shd w:val="clear" w:color="auto" w:fill="ffffff"/>
        <w:tabs>
          <w:tab w:val="left" w:leader="none" w:pos="993"/>
        </w:tabs>
        <w:spacing/>
        <w:ind w:firstLine="709"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выполнять регламенты техники безопасности;</w:t>
      </w:r>
      <w:r>
        <w:rPr>
          <w:sz w:val="24"/>
          <w:szCs w:val="24"/>
        </w:rPr>
      </w:r>
    </w:p>
    <w:p>
      <w:pPr>
        <w:pStyle w:val="705"/>
        <w:numPr>
          <w:ilvl w:val="0"/>
          <w:numId w:val="1"/>
        </w:numPr>
        <w:pBdr/>
        <w:shd w:val="clear" w:color="auto" w:fill="ffffff"/>
        <w:spacing/>
        <w:ind w:firstLine="709"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вести процесс обработки информации на ЭВМ; </w:t>
      </w:r>
      <w:r>
        <w:rPr>
          <w:sz w:val="24"/>
          <w:szCs w:val="24"/>
        </w:rPr>
      </w:r>
    </w:p>
    <w:p>
      <w:pPr>
        <w:pStyle w:val="705"/>
        <w:numPr>
          <w:ilvl w:val="0"/>
          <w:numId w:val="1"/>
        </w:numPr>
        <w:pBdr/>
        <w:shd w:val="clear" w:color="auto" w:fill="ffffff"/>
        <w:spacing/>
        <w:ind w:firstLine="709"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выполнять ввод информации в ЭВМ с носителей данных, каналов связи и вывод ее из машины; </w:t>
      </w:r>
      <w:r>
        <w:rPr>
          <w:sz w:val="24"/>
          <w:szCs w:val="24"/>
        </w:rPr>
      </w:r>
    </w:p>
    <w:p>
      <w:pPr>
        <w:pStyle w:val="705"/>
        <w:numPr>
          <w:ilvl w:val="0"/>
          <w:numId w:val="1"/>
        </w:numPr>
        <w:pBdr/>
        <w:shd w:val="clear" w:color="auto" w:fill="ffffff"/>
        <w:spacing/>
        <w:ind w:firstLine="709"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подготавливать носители данных на устройствах подготовки данных, выполнять запись, считывания, копирование и перезапись информации с одного вида носителей на другой; </w:t>
      </w:r>
      <w:r>
        <w:rPr>
          <w:sz w:val="24"/>
          <w:szCs w:val="24"/>
        </w:rPr>
      </w:r>
    </w:p>
    <w:p>
      <w:pPr>
        <w:pStyle w:val="705"/>
        <w:numPr>
          <w:ilvl w:val="0"/>
          <w:numId w:val="1"/>
        </w:numPr>
        <w:pBdr/>
        <w:shd w:val="clear" w:color="auto" w:fill="ffffff"/>
        <w:spacing/>
        <w:ind w:firstLine="709"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устанавливать причины сбоев в работе ЭВМ в процессе обработки информации; </w:t>
      </w:r>
      <w:r>
        <w:rPr>
          <w:sz w:val="24"/>
          <w:szCs w:val="24"/>
        </w:rPr>
      </w:r>
    </w:p>
    <w:p>
      <w:pPr>
        <w:pStyle w:val="705"/>
        <w:numPr>
          <w:ilvl w:val="0"/>
          <w:numId w:val="1"/>
        </w:numPr>
        <w:pBdr/>
        <w:shd w:val="clear" w:color="auto" w:fill="ffffff"/>
        <w:spacing/>
        <w:ind w:firstLine="709"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оформлять результаты выполняемых работ; </w:t>
      </w:r>
      <w:r>
        <w:rPr>
          <w:sz w:val="24"/>
          <w:szCs w:val="24"/>
        </w:rPr>
      </w:r>
    </w:p>
    <w:p>
      <w:pPr>
        <w:pStyle w:val="705"/>
        <w:numPr>
          <w:ilvl w:val="0"/>
          <w:numId w:val="1"/>
        </w:numPr>
        <w:pBdr/>
        <w:shd w:val="clear" w:color="auto" w:fill="ffffff"/>
        <w:spacing/>
        <w:ind w:firstLine="709"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соблюдать требования безопасности труда и пожарной безопасности.</w:t>
      </w:r>
      <w:r>
        <w:rPr>
          <w:sz w:val="24"/>
          <w:szCs w:val="24"/>
        </w:rPr>
      </w:r>
    </w:p>
    <w:p>
      <w:pPr>
        <w:pBdr/>
        <w:tabs>
          <w:tab w:val="num" w:leader="none" w:pos="0"/>
        </w:tabs>
        <w:spacing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</w:t>
      </w:r>
      <w:r>
        <w:rPr>
          <w:sz w:val="24"/>
          <w:szCs w:val="24"/>
        </w:rPr>
        <w:t xml:space="preserve">5</w:t>
      </w:r>
      <w:r>
        <w:rPr>
          <w:sz w:val="24"/>
          <w:szCs w:val="24"/>
        </w:rPr>
        <w:t xml:space="preserve">.3 Знать</w:t>
      </w:r>
      <w:r>
        <w:rPr>
          <w:sz w:val="24"/>
          <w:szCs w:val="24"/>
        </w:rPr>
      </w:r>
    </w:p>
    <w:p>
      <w:pPr>
        <w:pBdr/>
        <w:shd w:val="clear" w:color="auto" w:fill="ffffff"/>
        <w:spacing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арифметические и логические основы цифровой техники;</w:t>
      </w:r>
      <w:r>
        <w:rPr>
          <w:sz w:val="24"/>
          <w:szCs w:val="24"/>
        </w:rPr>
      </w:r>
    </w:p>
    <w:p>
      <w:pPr>
        <w:pBdr/>
        <w:shd w:val="clear" w:color="auto" w:fill="ffffff"/>
        <w:spacing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правила оформления схем цифровых устройств;</w:t>
      </w:r>
      <w:r>
        <w:rPr>
          <w:sz w:val="24"/>
          <w:szCs w:val="24"/>
        </w:rPr>
      </w:r>
    </w:p>
    <w:p>
      <w:pPr>
        <w:pBdr/>
        <w:shd w:val="clear" w:color="auto" w:fill="ffffff"/>
        <w:spacing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принципы построения цифровых устройств;</w:t>
      </w:r>
      <w:r>
        <w:rPr>
          <w:sz w:val="24"/>
          <w:szCs w:val="24"/>
        </w:rPr>
      </w:r>
    </w:p>
    <w:p>
      <w:pPr>
        <w:pBdr/>
        <w:shd w:val="clear" w:color="auto" w:fill="ffffff"/>
        <w:spacing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основы микропроцессорной техники;</w:t>
      </w:r>
      <w:r>
        <w:rPr>
          <w:sz w:val="24"/>
          <w:szCs w:val="24"/>
        </w:rPr>
      </w:r>
    </w:p>
    <w:p>
      <w:pPr>
        <w:pBdr/>
        <w:shd w:val="clear" w:color="auto" w:fill="ffffff"/>
        <w:spacing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основные задачи и этапы проектирования цифровых устройств;</w:t>
      </w:r>
      <w:r>
        <w:rPr>
          <w:sz w:val="24"/>
          <w:szCs w:val="24"/>
        </w:rPr>
      </w:r>
    </w:p>
    <w:p>
      <w:pPr>
        <w:pBdr/>
        <w:shd w:val="clear" w:color="auto" w:fill="ffffff"/>
        <w:spacing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конструкторскую документацию, используемую при проектировании;</w:t>
      </w:r>
      <w:r>
        <w:rPr>
          <w:sz w:val="24"/>
          <w:szCs w:val="24"/>
        </w:rPr>
      </w:r>
    </w:p>
    <w:p>
      <w:pPr>
        <w:pBdr/>
        <w:shd w:val="clear" w:color="auto" w:fill="ffffff"/>
        <w:spacing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условия эксплуатации цифровых устройств, обеспечение их помехоустойчивости и тепловых режимов, защиты от механических воздействий и агрессивной среды;</w:t>
      </w:r>
      <w:r>
        <w:rPr>
          <w:sz w:val="24"/>
          <w:szCs w:val="24"/>
        </w:rPr>
      </w:r>
    </w:p>
    <w:p>
      <w:pPr>
        <w:pBdr/>
        <w:shd w:val="clear" w:color="auto" w:fill="ffffff"/>
        <w:spacing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особенности применения систем автоматизированного проектирования, пакеты прикладных программ;</w:t>
      </w:r>
      <w:r>
        <w:rPr>
          <w:sz w:val="24"/>
          <w:szCs w:val="24"/>
        </w:rPr>
      </w:r>
    </w:p>
    <w:p>
      <w:pPr>
        <w:pBdr/>
        <w:shd w:val="clear" w:color="auto" w:fill="ffffff"/>
        <w:spacing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методы оценки качества и надежности цифровых устройств;</w:t>
      </w:r>
      <w:r>
        <w:rPr>
          <w:sz w:val="24"/>
          <w:szCs w:val="24"/>
        </w:rPr>
      </w:r>
    </w:p>
    <w:p>
      <w:pPr>
        <w:pBdr/>
        <w:shd w:val="clear" w:color="auto" w:fill="ffffff"/>
        <w:spacing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основы технологических процессов производства СВТ.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регламенты, процедуры, технические условия и норматив</w:t>
      </w:r>
      <w:r>
        <w:rPr>
          <w:sz w:val="24"/>
          <w:szCs w:val="24"/>
        </w:rPr>
        <w:t xml:space="preserve">ы;</w:t>
      </w:r>
      <w:r>
        <w:rPr>
          <w:sz w:val="24"/>
          <w:szCs w:val="24"/>
        </w:rPr>
      </w:r>
    </w:p>
    <w:p>
      <w:pPr>
        <w:pBdr/>
        <w:spacing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базовую функциональную схему МПС;</w:t>
      </w:r>
      <w:r>
        <w:rPr>
          <w:sz w:val="24"/>
          <w:szCs w:val="24"/>
        </w:rPr>
      </w:r>
    </w:p>
    <w:p>
      <w:pPr>
        <w:pBdr/>
        <w:spacing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программное обеспечение микропроцессорных систем;</w:t>
      </w:r>
      <w:r>
        <w:rPr>
          <w:sz w:val="24"/>
          <w:szCs w:val="24"/>
        </w:rPr>
      </w:r>
    </w:p>
    <w:p>
      <w:pPr>
        <w:pBdr/>
        <w:spacing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структуру типовой системы управления (контроллер) и организацию микроконтроллерных систем;</w:t>
      </w:r>
      <w:r>
        <w:rPr>
          <w:sz w:val="24"/>
          <w:szCs w:val="24"/>
        </w:rPr>
      </w:r>
    </w:p>
    <w:p>
      <w:pPr>
        <w:pBdr/>
        <w:spacing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методы тестирования и способы отладки МПС;</w:t>
      </w:r>
      <w:r>
        <w:rPr>
          <w:sz w:val="24"/>
          <w:szCs w:val="24"/>
        </w:rPr>
      </w:r>
    </w:p>
    <w:p>
      <w:pPr>
        <w:pStyle w:val="704"/>
        <w:pBdr/>
        <w:spacing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информационное взаимодействие различных устройств через информационно-телекоммуникационную сеть «Интернет» (далее – Интернет);</w:t>
      </w:r>
      <w:r>
        <w:rPr>
          <w:rFonts w:ascii="Times New Roman" w:hAnsi="Times New Roman"/>
          <w:sz w:val="24"/>
          <w:szCs w:val="24"/>
        </w:rPr>
      </w:r>
    </w:p>
    <w:p>
      <w:pPr>
        <w:pBdr/>
        <w:spacing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состояние производства и использование МПС;</w:t>
      </w:r>
      <w:r>
        <w:rPr>
          <w:sz w:val="24"/>
          <w:szCs w:val="24"/>
        </w:rPr>
      </w:r>
    </w:p>
    <w:p>
      <w:pPr>
        <w:pBdr/>
        <w:spacing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способы конфигурирования и установки персональных компьютеров, программную поддержку их работы;</w:t>
      </w:r>
      <w:r>
        <w:rPr>
          <w:sz w:val="24"/>
          <w:szCs w:val="24"/>
        </w:rPr>
      </w:r>
    </w:p>
    <w:p>
      <w:pPr>
        <w:pBdr/>
        <w:spacing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классификацию, общие принципы построения и физические основы работы периферийных устройств;</w:t>
      </w:r>
      <w:r>
        <w:rPr>
          <w:sz w:val="24"/>
          <w:szCs w:val="24"/>
        </w:rPr>
      </w:r>
    </w:p>
    <w:p>
      <w:pPr>
        <w:pBdr/>
        <w:spacing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способы подключения стандартных и нестандартных программных утилит;</w:t>
      </w:r>
      <w:r>
        <w:rPr>
          <w:sz w:val="24"/>
          <w:szCs w:val="24"/>
        </w:rPr>
      </w:r>
    </w:p>
    <w:p>
      <w:pPr>
        <w:pBdr/>
        <w:spacing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причины неисправностей и возможных сбоев.</w:t>
      </w:r>
      <w:r>
        <w:rPr>
          <w:sz w:val="24"/>
          <w:szCs w:val="24"/>
        </w:rPr>
      </w:r>
    </w:p>
    <w:p>
      <w:pPr>
        <w:widowControl w:val="true"/>
        <w:numPr>
          <w:ilvl w:val="0"/>
          <w:numId w:val="1"/>
        </w:numPr>
        <w:pBdr/>
        <w:shd w:val="clear" w:color="auto" w:fill="ffffff"/>
        <w:tabs>
          <w:tab w:val="left" w:leader="none" w:pos="993"/>
        </w:tabs>
        <w:spacing/>
        <w:ind w:firstLine="709"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особенности контроля и диагностики устройств аппаратно-программных систем; </w:t>
      </w:r>
      <w:r>
        <w:rPr>
          <w:sz w:val="24"/>
          <w:szCs w:val="24"/>
        </w:rPr>
      </w:r>
    </w:p>
    <w:p>
      <w:pPr>
        <w:widowControl w:val="true"/>
        <w:numPr>
          <w:ilvl w:val="0"/>
          <w:numId w:val="1"/>
        </w:numPr>
        <w:pBdr/>
        <w:shd w:val="clear" w:color="auto" w:fill="ffffff"/>
        <w:tabs>
          <w:tab w:val="left" w:leader="none" w:pos="993"/>
        </w:tabs>
        <w:spacing/>
        <w:ind w:firstLine="709"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основные методы диагностики;</w:t>
      </w:r>
      <w:r>
        <w:rPr>
          <w:sz w:val="24"/>
          <w:szCs w:val="24"/>
        </w:rPr>
      </w:r>
    </w:p>
    <w:p>
      <w:pPr>
        <w:widowControl w:val="true"/>
        <w:numPr>
          <w:ilvl w:val="0"/>
          <w:numId w:val="1"/>
        </w:numPr>
        <w:pBdr/>
        <w:shd w:val="clear" w:color="auto" w:fill="ffffff"/>
        <w:tabs>
          <w:tab w:val="left" w:leader="none" w:pos="993"/>
        </w:tabs>
        <w:spacing/>
        <w:ind w:firstLine="709"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аппаратные и программные средства функционального контроля и диагностики компьютерных систем и комплексов возможности и области применения стандартной и специальной контрольно-измерительной аппаратуры для локализации мест неисправностей СВТ;</w:t>
      </w:r>
      <w:r>
        <w:rPr>
          <w:sz w:val="24"/>
          <w:szCs w:val="24"/>
        </w:rPr>
      </w:r>
    </w:p>
    <w:p>
      <w:pPr>
        <w:widowControl w:val="true"/>
        <w:numPr>
          <w:ilvl w:val="0"/>
          <w:numId w:val="1"/>
        </w:numPr>
        <w:pBdr/>
        <w:shd w:val="clear" w:color="auto" w:fill="ffffff"/>
        <w:tabs>
          <w:tab w:val="left" w:leader="none" w:pos="993"/>
        </w:tabs>
        <w:spacing/>
        <w:ind w:firstLine="709"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применение сервисных средств и встроенных тест-программ;</w:t>
      </w:r>
      <w:r>
        <w:rPr>
          <w:sz w:val="24"/>
          <w:szCs w:val="24"/>
        </w:rPr>
      </w:r>
    </w:p>
    <w:p>
      <w:pPr>
        <w:widowControl w:val="true"/>
        <w:numPr>
          <w:ilvl w:val="0"/>
          <w:numId w:val="1"/>
        </w:numPr>
        <w:pBdr/>
        <w:shd w:val="clear" w:color="auto" w:fill="ffffff"/>
        <w:tabs>
          <w:tab w:val="left" w:leader="none" w:pos="993"/>
        </w:tabs>
        <w:spacing/>
        <w:ind w:firstLine="709"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аппаратное и программное конфигурирование компьютерных систем и комплексов;</w:t>
      </w:r>
      <w:r>
        <w:rPr>
          <w:sz w:val="24"/>
          <w:szCs w:val="24"/>
        </w:rPr>
      </w:r>
    </w:p>
    <w:p>
      <w:pPr>
        <w:widowControl w:val="true"/>
        <w:numPr>
          <w:ilvl w:val="0"/>
          <w:numId w:val="1"/>
        </w:numPr>
        <w:pBdr/>
        <w:shd w:val="clear" w:color="auto" w:fill="ffffff"/>
        <w:tabs>
          <w:tab w:val="left" w:leader="none" w:pos="993"/>
        </w:tabs>
        <w:spacing/>
        <w:ind w:firstLine="709"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инсталляцию, конфигурирование и настройку операционной системы, драйверов, резидентных программ; </w:t>
      </w:r>
      <w:r>
        <w:rPr>
          <w:sz w:val="24"/>
          <w:szCs w:val="24"/>
        </w:rPr>
      </w:r>
    </w:p>
    <w:p>
      <w:pPr>
        <w:widowControl w:val="true"/>
        <w:numPr>
          <w:ilvl w:val="0"/>
          <w:numId w:val="1"/>
        </w:numPr>
        <w:pBdr/>
        <w:shd w:val="clear" w:color="auto" w:fill="ffffff"/>
        <w:tabs>
          <w:tab w:val="left" w:leader="none" w:pos="993"/>
        </w:tabs>
        <w:spacing/>
        <w:ind w:firstLine="709"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приемы обеспечения устойчивой работы компьютерных систем и комплексов;</w:t>
      </w:r>
      <w:r>
        <w:rPr>
          <w:sz w:val="24"/>
          <w:szCs w:val="24"/>
        </w:rPr>
      </w:r>
    </w:p>
    <w:p>
      <w:pPr>
        <w:widowControl w:val="true"/>
        <w:numPr>
          <w:ilvl w:val="0"/>
          <w:numId w:val="1"/>
        </w:numPr>
        <w:pBdr/>
        <w:shd w:val="clear" w:color="auto" w:fill="ffffff"/>
        <w:tabs>
          <w:tab w:val="left" w:leader="none" w:pos="993"/>
        </w:tabs>
        <w:spacing/>
        <w:ind w:firstLine="709"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правила и нормы охраны труда, техники безопасности, промышленной санитарии и противопожарной защиты;</w:t>
      </w:r>
      <w:r>
        <w:rPr>
          <w:sz w:val="24"/>
          <w:szCs w:val="24"/>
        </w:rPr>
      </w:r>
    </w:p>
    <w:p>
      <w:pPr>
        <w:pStyle w:val="705"/>
        <w:numPr>
          <w:ilvl w:val="0"/>
          <w:numId w:val="1"/>
        </w:numPr>
        <w:pBdr/>
        <w:spacing/>
        <w:ind w:hanging="21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состав ЭВМ, функциональные узлы ЭВМ, их назначение и принципы работы,</w:t>
      </w:r>
      <w:r>
        <w:rPr>
          <w:sz w:val="24"/>
          <w:szCs w:val="24"/>
        </w:rPr>
      </w:r>
    </w:p>
    <w:p>
      <w:pPr>
        <w:pStyle w:val="705"/>
        <w:numPr>
          <w:ilvl w:val="0"/>
          <w:numId w:val="1"/>
        </w:numPr>
        <w:pBdr/>
        <w:spacing/>
        <w:ind w:hanging="21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операционные системы, применяемые в ЭВМ, </w:t>
      </w:r>
      <w:r>
        <w:rPr>
          <w:sz w:val="24"/>
          <w:szCs w:val="24"/>
        </w:rPr>
      </w:r>
    </w:p>
    <w:p>
      <w:pPr>
        <w:pStyle w:val="705"/>
        <w:numPr>
          <w:ilvl w:val="0"/>
          <w:numId w:val="1"/>
        </w:numPr>
        <w:pBdr/>
        <w:spacing/>
        <w:ind w:hanging="21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правила технической  эксплуатации ЭВМ, </w:t>
      </w:r>
      <w:r>
        <w:rPr>
          <w:sz w:val="24"/>
          <w:szCs w:val="24"/>
        </w:rPr>
      </w:r>
    </w:p>
    <w:p>
      <w:pPr>
        <w:pStyle w:val="705"/>
        <w:numPr>
          <w:ilvl w:val="0"/>
          <w:numId w:val="1"/>
        </w:numPr>
        <w:pBdr/>
        <w:spacing/>
        <w:ind w:hanging="21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периферийные устройства, применяемые в ЭВМ,</w:t>
      </w:r>
      <w:r>
        <w:rPr>
          <w:sz w:val="24"/>
          <w:szCs w:val="24"/>
        </w:rPr>
      </w:r>
    </w:p>
    <w:p>
      <w:pPr>
        <w:pStyle w:val="705"/>
        <w:numPr>
          <w:ilvl w:val="0"/>
          <w:numId w:val="1"/>
        </w:numPr>
        <w:pBdr/>
        <w:spacing/>
        <w:ind w:hanging="21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виды и причины отказов в работе ЭВМ, </w:t>
      </w:r>
      <w:r>
        <w:rPr>
          <w:sz w:val="24"/>
          <w:szCs w:val="24"/>
        </w:rPr>
      </w:r>
    </w:p>
    <w:p>
      <w:pPr>
        <w:pStyle w:val="705"/>
        <w:numPr>
          <w:ilvl w:val="0"/>
          <w:numId w:val="1"/>
        </w:numPr>
        <w:pBdr/>
        <w:spacing/>
        <w:ind w:hanging="21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нормы и правила труда и пожарной безопасности.</w:t>
      </w:r>
      <w:r>
        <w:rPr>
          <w:sz w:val="24"/>
          <w:szCs w:val="24"/>
        </w:rPr>
      </w:r>
    </w:p>
    <w:p>
      <w:pPr>
        <w:pBdr/>
        <w:spacing/>
        <w:ind w:hanging="219" w:left="928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</w:t>
      </w:r>
      <w:r>
        <w:rPr>
          <w:sz w:val="24"/>
          <w:szCs w:val="24"/>
        </w:rPr>
        <w:t xml:space="preserve">5</w:t>
      </w:r>
      <w:r>
        <w:rPr>
          <w:sz w:val="24"/>
          <w:szCs w:val="24"/>
        </w:rPr>
        <w:t xml:space="preserve">.4 </w:t>
      </w:r>
      <w:r>
        <w:rPr>
          <w:sz w:val="24"/>
          <w:szCs w:val="24"/>
        </w:rPr>
        <w:t xml:space="preserve">В результате освоения основной образовательной программы </w:t>
      </w:r>
      <w:r>
        <w:rPr>
          <w:sz w:val="24"/>
          <w:szCs w:val="24"/>
        </w:rPr>
        <w:t xml:space="preserve">техник по компьютерным системам должен</w:t>
      </w:r>
      <w:r>
        <w:rPr>
          <w:sz w:val="24"/>
          <w:szCs w:val="24"/>
        </w:rPr>
        <w:t xml:space="preserve"> обладать общими компетенциями, включающими в себя способность: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ОК 1 Понимать сущность и социальную значимость своей будущей профессии, проявлять к ней устойчивый интерес.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ОК 3. Принимать решения в стандартных и нестандартных ситуациях и нести за них ответственность.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ОК 5. Использовать информационно-коммуникационные технологии </w:t>
      </w:r>
      <w:r>
        <w:rPr>
          <w:sz w:val="24"/>
          <w:szCs w:val="24"/>
        </w:rPr>
        <w:t xml:space="preserve">в профессиональной</w:t>
      </w:r>
      <w:r>
        <w:rPr>
          <w:sz w:val="24"/>
          <w:szCs w:val="24"/>
        </w:rPr>
        <w:t xml:space="preserve"> деятельности.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ОК 6. Работать в коллективе и команде, эффективно общаться с коллегами, руководством, потребителями.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ОК 7. Брать на себя ответственности за работу членов команды (подчиненных), результат выполнения заданий.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ОК 9. Ориентироваться в условиях частой смены технологий в профессиональной деятельности.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</w:t>
      </w:r>
      <w:r>
        <w:rPr>
          <w:sz w:val="24"/>
          <w:szCs w:val="24"/>
        </w:rPr>
        <w:t xml:space="preserve">5</w:t>
      </w:r>
      <w:r>
        <w:rPr>
          <w:sz w:val="24"/>
          <w:szCs w:val="24"/>
        </w:rPr>
        <w:t xml:space="preserve">.5 </w:t>
      </w:r>
      <w:r>
        <w:rPr>
          <w:sz w:val="24"/>
          <w:szCs w:val="24"/>
        </w:rPr>
        <w:t xml:space="preserve">Выпускник, освоивший образовательную программу, должен обладать профессиональными компетенциями, соответствующими основным видам деятельности: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ВД 1 </w:t>
      </w:r>
      <w:r>
        <w:rPr>
          <w:sz w:val="24"/>
          <w:szCs w:val="24"/>
        </w:rPr>
        <w:t xml:space="preserve">Проектирование цифровых устройств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ПК 1.1.</w:t>
      </w:r>
      <w:r>
        <w:rPr>
          <w:sz w:val="24"/>
          <w:szCs w:val="24"/>
        </w:rPr>
        <w:t xml:space="preserve"> Выполнять требования технического задания на проектирование цифровых устройств</w:t>
      </w:r>
      <w:r>
        <w:rPr>
          <w:color w:val="000000"/>
          <w:sz w:val="24"/>
          <w:szCs w:val="24"/>
        </w:rPr>
        <w:t xml:space="preserve">.</w:t>
      </w:r>
      <w:r>
        <w:rPr>
          <w:color w:val="000000"/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ПК 1.2</w:t>
      </w:r>
      <w:r>
        <w:rPr>
          <w:sz w:val="24"/>
          <w:szCs w:val="24"/>
        </w:rPr>
        <w:t xml:space="preserve"> Разрабатывать схемы цифровых устройств на основе интегральных схем разной степени интеграции.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ПК 1.3 Использовать средства и методы автоматизированного проектирования при разработке цифровых устройств.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ПК1.4 Проводить измерения параметров проектируемых устройств и определять показатели надежности.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rFonts w:eastAsia="Times New Roman"/>
          <w:sz w:val="24"/>
          <w:szCs w:val="24"/>
        </w:rPr>
      </w:pPr>
      <w:r>
        <w:rPr>
          <w:sz w:val="24"/>
          <w:szCs w:val="24"/>
        </w:rPr>
        <w:t xml:space="preserve">ПК 1.5 </w:t>
      </w:r>
      <w:r>
        <w:rPr>
          <w:rFonts w:eastAsia="Times New Roman"/>
          <w:sz w:val="24"/>
          <w:szCs w:val="24"/>
        </w:rPr>
        <w:t xml:space="preserve">Выполнять требования нормативно-технической документации.</w:t>
      </w:r>
      <w:r>
        <w:rPr>
          <w:rFonts w:eastAsia="Times New Roman"/>
          <w:sz w:val="24"/>
          <w:szCs w:val="24"/>
        </w:rPr>
      </w:r>
    </w:p>
    <w:p>
      <w:pPr>
        <w:pStyle w:val="695"/>
        <w:pBdr/>
        <w:spacing/>
        <w:ind w:firstLine="709"/>
        <w:jc w:val="both"/>
        <w:rPr/>
      </w:pPr>
      <w:r>
        <w:t xml:space="preserve">ВД2:</w:t>
      </w:r>
      <w:r>
        <w:t xml:space="preserve"> </w:t>
      </w:r>
      <w:r>
        <w:t xml:space="preserve">Применение микропроцессорных систем, установка и настройка периферийного оборудования</w:t>
      </w:r>
      <w:r/>
    </w:p>
    <w:p>
      <w:pPr>
        <w:pStyle w:val="695"/>
        <w:pBdr/>
        <w:spacing/>
        <w:ind w:firstLine="709"/>
        <w:jc w:val="both"/>
        <w:rPr/>
      </w:pPr>
      <w:r>
        <w:t xml:space="preserve">ПК 2.1 </w:t>
      </w:r>
      <w:r>
        <w:t xml:space="preserve">Со</w:t>
      </w:r>
      <w:r>
        <w:t xml:space="preserve">зд</w:t>
      </w:r>
      <w:r>
        <w:t xml:space="preserve">ав</w:t>
      </w:r>
      <w:r>
        <w:t xml:space="preserve">а</w:t>
      </w:r>
      <w:r>
        <w:t xml:space="preserve">ть программы на языке ассемблера для микропроцессорных систем</w:t>
      </w:r>
      <w:r>
        <w:t xml:space="preserve">.</w:t>
      </w:r>
      <w:r/>
    </w:p>
    <w:p>
      <w:pPr>
        <w:pStyle w:val="695"/>
        <w:pBdr/>
        <w:spacing/>
        <w:ind w:firstLine="709"/>
        <w:jc w:val="both"/>
        <w:rPr/>
      </w:pPr>
      <w:r>
        <w:t xml:space="preserve">ПК 2.2</w:t>
      </w:r>
      <w:r>
        <w:t xml:space="preserve">Производить тестирование</w:t>
      </w:r>
      <w:r>
        <w:t xml:space="preserve">, определение параметров</w:t>
      </w:r>
      <w:r>
        <w:t xml:space="preserve"> и отладку микропроцессорных систем.</w:t>
      </w:r>
      <w:r/>
    </w:p>
    <w:p>
      <w:pPr>
        <w:pStyle w:val="695"/>
        <w:pBdr/>
        <w:spacing/>
        <w:ind w:firstLine="709"/>
        <w:jc w:val="both"/>
        <w:rPr/>
      </w:pPr>
      <w:r>
        <w:t xml:space="preserve">ПК</w:t>
      </w:r>
      <w:r>
        <w:t xml:space="preserve"> 2</w:t>
      </w:r>
      <w:r>
        <w:t xml:space="preserve">.3</w:t>
      </w:r>
      <w:r>
        <w:t xml:space="preserve">Осуществлять установку и </w:t>
      </w:r>
      <w:r>
        <w:t xml:space="preserve">конфигурирование персональных компьютеров,</w:t>
      </w:r>
      <w:r>
        <w:t xml:space="preserve"> и подключение периферийных устройств.</w:t>
      </w:r>
      <w:r/>
    </w:p>
    <w:p>
      <w:pPr>
        <w:pStyle w:val="695"/>
        <w:pBdr/>
        <w:spacing/>
        <w:ind w:firstLine="709"/>
        <w:jc w:val="both"/>
        <w:rPr/>
      </w:pPr>
      <w:r>
        <w:t xml:space="preserve">ПК 2.4 </w:t>
      </w:r>
      <w:r>
        <w:t xml:space="preserve">Выявлять причины неисправности периферийного оборудования.</w:t>
      </w:r>
      <w:r/>
    </w:p>
    <w:p>
      <w:pPr>
        <w:pStyle w:val="695"/>
        <w:pBdr/>
        <w:spacing/>
        <w:ind w:firstLine="709"/>
        <w:jc w:val="both"/>
        <w:rPr/>
      </w:pPr>
      <w:r>
        <w:t xml:space="preserve">ВД3:</w:t>
      </w:r>
      <w:r>
        <w:t xml:space="preserve"> </w:t>
      </w:r>
      <w:r>
        <w:t xml:space="preserve">Техническое обслуживание и ремонт компьютерных систем и комплексов.</w:t>
      </w:r>
      <w:r/>
    </w:p>
    <w:p>
      <w:pPr>
        <w:pStyle w:val="695"/>
        <w:pBdr/>
        <w:spacing/>
        <w:ind w:firstLine="709"/>
        <w:jc w:val="both"/>
        <w:rPr/>
      </w:pPr>
      <w:r>
        <w:t xml:space="preserve">ПК 3.1 </w:t>
      </w:r>
      <w:r>
        <w:t xml:space="preserve">Проводить контроль, диагностику и восстановление работоспособности компьютерных систем и комплексов</w:t>
      </w:r>
      <w:r/>
    </w:p>
    <w:p>
      <w:pPr>
        <w:pStyle w:val="695"/>
        <w:pBdr/>
        <w:spacing/>
        <w:ind w:firstLine="709"/>
        <w:jc w:val="both"/>
        <w:rPr/>
      </w:pPr>
      <w:r>
        <w:t xml:space="preserve">ПК 3.</w:t>
      </w:r>
      <w:r>
        <w:t xml:space="preserve">2.</w:t>
      </w:r>
      <w:r>
        <w:t xml:space="preserve"> Проводить</w:t>
      </w:r>
      <w:r>
        <w:tab/>
        <w:t xml:space="preserve">системотехническое</w:t>
      </w:r>
      <w:r>
        <w:t xml:space="preserve"> </w:t>
      </w:r>
      <w:r>
        <w:t xml:space="preserve">обслуживание</w:t>
      </w:r>
      <w:r>
        <w:t xml:space="preserve"> </w:t>
      </w:r>
      <w:r>
        <w:t xml:space="preserve">компьютерных систем и комплексов</w:t>
      </w:r>
      <w:r/>
    </w:p>
    <w:p>
      <w:pPr>
        <w:pStyle w:val="695"/>
        <w:pBdr/>
        <w:spacing/>
        <w:ind w:firstLine="709"/>
        <w:jc w:val="both"/>
        <w:rPr/>
      </w:pPr>
      <w:r>
        <w:t xml:space="preserve">ПК 3.3 </w:t>
      </w:r>
      <w:r>
        <w:t xml:space="preserve">Принимать участие в отладке и технических испытаниях </w:t>
      </w:r>
      <w:r>
        <w:rPr>
          <w:spacing w:val="-1"/>
        </w:rPr>
        <w:t xml:space="preserve">компьютерных систем и комплексов; инсталляции, конфигурировании </w:t>
      </w:r>
      <w:r>
        <w:t xml:space="preserve">программного обеспечения</w:t>
      </w:r>
      <w:r/>
    </w:p>
    <w:p>
      <w:pPr>
        <w:pStyle w:val="695"/>
        <w:pBdr/>
        <w:spacing/>
        <w:ind w:firstLine="709"/>
        <w:jc w:val="both"/>
        <w:rPr/>
      </w:pPr>
      <w:r>
        <w:t xml:space="preserve">ВД4:</w:t>
      </w:r>
      <w:r>
        <w:t xml:space="preserve"> </w:t>
      </w:r>
      <w:r>
        <w:t xml:space="preserve">Выполнение работ по одной или нескольким профессиям рабочих, должностям служащих</w:t>
      </w:r>
      <w:r/>
    </w:p>
    <w:p>
      <w:pPr>
        <w:pStyle w:val="695"/>
        <w:pBdr/>
        <w:spacing/>
        <w:ind w:firstLine="709"/>
        <w:jc w:val="both"/>
        <w:rPr/>
      </w:pPr>
      <w:r>
        <w:t xml:space="preserve">ПК 4.1Подготавливать к работе, настраивать аппаратное обеспечение и операционную систему персонального компьютера.</w:t>
      </w:r>
      <w:r/>
    </w:p>
    <w:p>
      <w:pPr>
        <w:pStyle w:val="695"/>
        <w:pBdr/>
        <w:spacing/>
        <w:ind w:firstLine="709"/>
        <w:jc w:val="both"/>
        <w:rPr/>
      </w:pPr>
      <w:r>
        <w:t xml:space="preserve">ПК 4.2Подготавливать к работе, настраивать периферийные устройства персонального компьютера.</w:t>
      </w:r>
      <w:r/>
    </w:p>
    <w:p>
      <w:pPr>
        <w:pStyle w:val="695"/>
        <w:pBdr/>
        <w:spacing/>
        <w:ind w:firstLine="709"/>
        <w:jc w:val="both"/>
        <w:rPr/>
      </w:pPr>
      <w:r>
        <w:t xml:space="preserve">ПК 4.3 Осуществлять ввод и обмен данными между персональным компьютером и периферийными устройствами и ресурсами локальных компьютерных сетей.</w:t>
      </w:r>
      <w:r/>
    </w:p>
    <w:p>
      <w:pPr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/>
        <w:ind w:firstLine="709"/>
        <w:jc w:val="both"/>
        <w:rPr>
          <w:rFonts w:eastAsia="Times New Roman"/>
          <w:sz w:val="24"/>
          <w:szCs w:val="24"/>
        </w:rPr>
      </w:pPr>
      <w:r>
        <w:rPr>
          <w:sz w:val="24"/>
          <w:szCs w:val="24"/>
        </w:rPr>
        <w:t xml:space="preserve">ПК 4.4 </w:t>
      </w:r>
      <w:r>
        <w:rPr>
          <w:rFonts w:eastAsia="Times New Roman"/>
          <w:sz w:val="24"/>
          <w:szCs w:val="24"/>
        </w:rPr>
        <w:t xml:space="preserve">Создавать и управлять на персональном компьютере текстовыми документами, таблицами, презентациями и содержанием баз данных.</w:t>
      </w:r>
      <w:r>
        <w:rPr>
          <w:rFonts w:eastAsia="Times New Roman"/>
          <w:sz w:val="24"/>
          <w:szCs w:val="24"/>
        </w:rPr>
      </w:r>
    </w:p>
    <w:p>
      <w:pPr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ПК 4.5 </w:t>
      </w:r>
      <w:r>
        <w:rPr>
          <w:rFonts w:eastAsia="Times New Roman"/>
          <w:sz w:val="24"/>
          <w:szCs w:val="24"/>
        </w:rPr>
        <w:t xml:space="preserve">Осуществлять навигацию по ресурсам, поиск, ввод и передачу данных с помощью технологий и сервисов Интернета.</w:t>
      </w:r>
      <w:r>
        <w:rPr>
          <w:rFonts w:eastAsia="Times New Roman"/>
          <w:sz w:val="24"/>
          <w:szCs w:val="24"/>
        </w:rPr>
      </w:r>
    </w:p>
    <w:p>
      <w:pPr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ПК 4.6 </w:t>
      </w:r>
      <w:r>
        <w:rPr>
          <w:rFonts w:eastAsia="Times New Roman"/>
          <w:sz w:val="24"/>
          <w:szCs w:val="24"/>
        </w:rPr>
        <w:t xml:space="preserve">Создавать и обрабатывать цифровые изображения.</w:t>
      </w:r>
      <w:r>
        <w:rPr>
          <w:rFonts w:eastAsia="Times New Roman"/>
          <w:sz w:val="24"/>
          <w:szCs w:val="24"/>
        </w:rPr>
      </w:r>
    </w:p>
    <w:p>
      <w:pPr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ПК 4.7 </w:t>
      </w:r>
      <w:r>
        <w:rPr>
          <w:rFonts w:eastAsia="Times New Roman"/>
          <w:sz w:val="24"/>
          <w:szCs w:val="24"/>
        </w:rPr>
        <w:t xml:space="preserve">Применять средства защиты персонального компьютера.</w:t>
      </w:r>
      <w:r>
        <w:rPr>
          <w:rFonts w:eastAsia="Times New Roman"/>
          <w:sz w:val="24"/>
          <w:szCs w:val="24"/>
        </w:rPr>
      </w:r>
    </w:p>
    <w:p>
      <w:pPr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СТРУКТУРА И СОДЕРЖАНИЕ ГОСУДАРСТВЕННОЙ ИТОГОВОЙ АТТЕСТАЦИИ</w:t>
      </w:r>
      <w:r>
        <w:rPr>
          <w:b/>
          <w:sz w:val="24"/>
          <w:szCs w:val="24"/>
        </w:rPr>
      </w:r>
    </w:p>
    <w:p>
      <w:pPr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695"/>
        <w:pBdr/>
        <w:spacing/>
        <w:ind w:firstLine="709"/>
        <w:jc w:val="center"/>
        <w:rPr>
          <w:b/>
        </w:rPr>
      </w:pPr>
      <w:r>
        <w:rPr>
          <w:b/>
        </w:rPr>
        <w:t xml:space="preserve">2.</w:t>
      </w:r>
      <w:r>
        <w:rPr>
          <w:b/>
        </w:rPr>
        <w:t xml:space="preserve">1</w:t>
      </w:r>
      <w:r>
        <w:rPr>
          <w:b/>
        </w:rPr>
        <w:t xml:space="preserve"> </w:t>
      </w:r>
      <w:r>
        <w:rPr>
          <w:b/>
        </w:rPr>
        <w:t xml:space="preserve">Защита выпускной квалификационной работы</w:t>
      </w:r>
      <w:r>
        <w:rPr>
          <w:b/>
        </w:rPr>
      </w:r>
    </w:p>
    <w:p>
      <w:pPr>
        <w:pStyle w:val="695"/>
        <w:pBdr/>
        <w:tabs>
          <w:tab w:val="left" w:leader="none" w:pos="3570"/>
        </w:tabs>
        <w:spacing/>
        <w:ind w:firstLine="709"/>
        <w:rPr/>
      </w:pPr>
      <w:r>
        <w:tab/>
      </w:r>
      <w:r/>
    </w:p>
    <w:p>
      <w:pPr>
        <w:pBdr/>
        <w:spacing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2.</w:t>
      </w:r>
      <w:r>
        <w:rPr>
          <w:sz w:val="24"/>
          <w:szCs w:val="24"/>
        </w:rPr>
        <w:t xml:space="preserve">1</w:t>
      </w:r>
      <w:r>
        <w:rPr>
          <w:sz w:val="24"/>
          <w:szCs w:val="24"/>
        </w:rPr>
        <w:t xml:space="preserve">.1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Сроки защиты выпускной квалификационной работы</w:t>
      </w:r>
      <w:r>
        <w:rPr>
          <w:sz w:val="24"/>
          <w:szCs w:val="24"/>
        </w:rPr>
      </w:r>
    </w:p>
    <w:p>
      <w:pPr>
        <w:pBdr/>
        <w:spacing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Объем времени и сроки, отводимые на выполнение выпускной квалификационной работы: </w:t>
      </w:r>
      <w:r>
        <w:rPr>
          <w:sz w:val="24"/>
          <w:szCs w:val="24"/>
        </w:rPr>
        <w:t xml:space="preserve">2</w:t>
      </w:r>
      <w:r>
        <w:rPr>
          <w:sz w:val="24"/>
          <w:szCs w:val="24"/>
        </w:rPr>
        <w:t xml:space="preserve"> недели</w:t>
      </w:r>
      <w:r>
        <w:rPr>
          <w:sz w:val="24"/>
          <w:szCs w:val="24"/>
        </w:rPr>
        <w:t xml:space="preserve">, май, июнь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</w:p>
    <w:p>
      <w:pPr>
        <w:pBdr/>
        <w:spacing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Сроки защиты выпускной квалификационной работы: </w:t>
      </w:r>
      <w:r>
        <w:rPr>
          <w:sz w:val="24"/>
          <w:szCs w:val="24"/>
        </w:rPr>
        <w:t xml:space="preserve">1 неделя, </w:t>
      </w:r>
      <w:r>
        <w:rPr>
          <w:sz w:val="24"/>
          <w:szCs w:val="24"/>
        </w:rPr>
        <w:t xml:space="preserve">июнь.</w:t>
      </w:r>
      <w:r>
        <w:rPr>
          <w:sz w:val="24"/>
          <w:szCs w:val="24"/>
        </w:rPr>
      </w:r>
    </w:p>
    <w:p>
      <w:pPr>
        <w:pStyle w:val="695"/>
        <w:pBdr/>
        <w:spacing/>
        <w:ind w:firstLine="709"/>
        <w:jc w:val="both"/>
        <w:rPr/>
      </w:pPr>
      <w:r/>
      <w:r/>
    </w:p>
    <w:p>
      <w:pPr>
        <w:pStyle w:val="695"/>
        <w:pBdr/>
        <w:spacing/>
        <w:ind w:firstLine="709"/>
        <w:jc w:val="both"/>
        <w:rPr/>
      </w:pPr>
      <w:r>
        <w:t xml:space="preserve">2.</w:t>
      </w:r>
      <w:r>
        <w:t xml:space="preserve">1</w:t>
      </w:r>
      <w:r>
        <w:t xml:space="preserve">.2 Темы выпускной квалификационной работы</w:t>
      </w:r>
      <w:r/>
    </w:p>
    <w:p>
      <w:pPr>
        <w:pBdr/>
        <w:tabs>
          <w:tab w:val="left" w:leader="none" w:pos="709"/>
        </w:tabs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Темы ВКР должны иметь практико-ориентирован</w:t>
      </w:r>
      <w:r>
        <w:rPr>
          <w:sz w:val="24"/>
          <w:szCs w:val="24"/>
        </w:rPr>
        <w:t xml:space="preserve">ный характер и должны соответствовать содержанию одного или нескольких профессиональных модулей ПМ.01. «Проектирование цифровых устройств», ПМ.02. «Применение микропроцессорных систем, установка и настройка периферийного оборудования», ПМ.03. «Техническое </w:t>
      </w:r>
      <w:r>
        <w:rPr>
          <w:sz w:val="24"/>
          <w:szCs w:val="24"/>
        </w:rPr>
        <w:t xml:space="preserve">обслуживание и ремонт компьютерных систем и комплексов»,</w:t>
      </w:r>
      <w:r>
        <w:rPr>
          <w:sz w:val="24"/>
          <w:szCs w:val="24"/>
        </w:rPr>
        <w:t xml:space="preserve"> ПМ. 04 </w:t>
      </w:r>
      <w:r>
        <w:rPr>
          <w:sz w:val="24"/>
          <w:szCs w:val="24"/>
        </w:rPr>
        <w:t xml:space="preserve">«</w:t>
      </w:r>
      <w:r>
        <w:rPr>
          <w:sz w:val="24"/>
          <w:szCs w:val="24"/>
        </w:rPr>
        <w:t xml:space="preserve">Выполнение работ по профессии </w:t>
      </w:r>
      <w:r>
        <w:rPr>
          <w:sz w:val="24"/>
          <w:szCs w:val="24"/>
        </w:rPr>
        <w:t xml:space="preserve">«</w:t>
      </w:r>
      <w:r>
        <w:rPr>
          <w:sz w:val="24"/>
          <w:szCs w:val="24"/>
        </w:rPr>
        <w:t xml:space="preserve">Оператор электронных вычислительных машин</w:t>
      </w:r>
      <w:r>
        <w:rPr>
          <w:sz w:val="24"/>
          <w:szCs w:val="24"/>
        </w:rPr>
        <w:t xml:space="preserve">»»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специальности 09.02.01 «Компьютерные системы и комплексы»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</w:p>
    <w:p>
      <w:pPr>
        <w:pStyle w:val="695"/>
        <w:pBdr/>
        <w:spacing/>
        <w:ind w:firstLine="709"/>
        <w:jc w:val="both"/>
        <w:rPr/>
      </w:pPr>
      <w:r>
        <w:t xml:space="preserve">Темы выпускных квалификационных работ с указанием руководителя</w:t>
      </w:r>
      <w:r>
        <w:t xml:space="preserve"> закрепляются за студентом приказом директора колледжа.</w:t>
      </w:r>
      <w:r/>
    </w:p>
    <w:p>
      <w:pPr>
        <w:pStyle w:val="695"/>
        <w:pBdr/>
        <w:spacing/>
        <w:ind w:firstLine="709"/>
        <w:jc w:val="both"/>
        <w:rPr/>
      </w:pPr>
      <w:r>
        <w:t xml:space="preserve">Примерная т</w:t>
      </w:r>
      <w:r>
        <w:t xml:space="preserve">ем</w:t>
      </w:r>
      <w:r>
        <w:t xml:space="preserve">атика</w:t>
      </w:r>
      <w:r>
        <w:t xml:space="preserve"> выпускных квалификационных работ представлен</w:t>
      </w:r>
      <w:r>
        <w:t xml:space="preserve">а</w:t>
      </w:r>
      <w:r>
        <w:t xml:space="preserve"> в приложении 1.</w:t>
      </w:r>
      <w:r/>
    </w:p>
    <w:p>
      <w:pPr>
        <w:pStyle w:val="695"/>
        <w:pBdr/>
        <w:spacing/>
        <w:ind w:firstLine="709"/>
        <w:jc w:val="both"/>
        <w:rPr/>
      </w:pPr>
      <w:r/>
      <w:r/>
    </w:p>
    <w:p>
      <w:pPr>
        <w:pBdr/>
        <w:spacing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ТРЕБОВАНИЯ К ВЫПУСКНОЙ КВАЛИФИКАЦИОННОЙ РАБОТЕ</w:t>
      </w:r>
      <w:r>
        <w:rPr>
          <w:b/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3.1 Требования к структуре выпускной квалификационной работы</w:t>
      </w:r>
      <w:r>
        <w:rPr>
          <w:b/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Структура ВКР: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титульный лист;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индивидуальный график выполнения ВКР;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задание на ВКР;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отзыв руководителя ВКР;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внешняя рецензия;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пояснительная записка:</w:t>
      </w:r>
      <w:r>
        <w:rPr>
          <w:sz w:val="24"/>
          <w:szCs w:val="24"/>
        </w:rPr>
      </w:r>
    </w:p>
    <w:p>
      <w:pPr>
        <w:pBdr/>
        <w:spacing/>
        <w:ind w:firstLine="127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введение с обоснованием актуальности и практической значимости выбранной темы;</w:t>
      </w:r>
      <w:r>
        <w:rPr>
          <w:sz w:val="24"/>
          <w:szCs w:val="24"/>
        </w:rPr>
      </w:r>
    </w:p>
    <w:p>
      <w:pPr>
        <w:pBdr/>
        <w:spacing/>
        <w:ind w:firstLine="127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общая часть;</w:t>
      </w:r>
      <w:r>
        <w:rPr>
          <w:sz w:val="24"/>
          <w:szCs w:val="24"/>
        </w:rPr>
      </w:r>
    </w:p>
    <w:p>
      <w:pPr>
        <w:pBdr/>
        <w:spacing/>
        <w:ind w:firstLine="127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специальная часть;</w:t>
      </w:r>
      <w:r>
        <w:rPr>
          <w:sz w:val="24"/>
          <w:szCs w:val="24"/>
        </w:rPr>
      </w:r>
    </w:p>
    <w:p>
      <w:pPr>
        <w:pBdr/>
        <w:spacing/>
        <w:ind w:firstLine="127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заключение;</w:t>
      </w:r>
      <w:r>
        <w:rPr>
          <w:sz w:val="24"/>
          <w:szCs w:val="24"/>
        </w:rPr>
      </w:r>
    </w:p>
    <w:p>
      <w:pPr>
        <w:pBdr/>
        <w:spacing/>
        <w:ind w:firstLine="127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список литературы;</w:t>
      </w:r>
      <w:r>
        <w:rPr>
          <w:sz w:val="24"/>
          <w:szCs w:val="24"/>
        </w:rPr>
      </w:r>
    </w:p>
    <w:p>
      <w:pPr>
        <w:pBdr/>
        <w:spacing/>
        <w:ind w:firstLine="127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приложения;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графическая часть;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изготовление макета, стенда</w:t>
      </w:r>
      <w:r>
        <w:rPr>
          <w:sz w:val="24"/>
          <w:szCs w:val="24"/>
        </w:rPr>
        <w:t xml:space="preserve">, разработанный программный продукт и т.п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Объем ВКР должен быть не меньше </w:t>
      </w:r>
      <w:r>
        <w:rPr>
          <w:sz w:val="24"/>
          <w:szCs w:val="24"/>
        </w:rPr>
        <w:t xml:space="preserve">4</w:t>
      </w:r>
      <w:r>
        <w:rPr>
          <w:sz w:val="24"/>
          <w:szCs w:val="24"/>
        </w:rPr>
        <w:t xml:space="preserve">0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страниц машинописного текста.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Требования к содержанию разделов выпускной квалификационной работы описаны в Методических указаниях по выполнению выпускной квалификационной работы.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Требования по оформлению выпускной квалификационной работы описаны в методических рекомендациях по оформлению выпускных квалификационных работ.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3.2</w:t>
      </w:r>
      <w:r>
        <w:rPr>
          <w:b/>
          <w:sz w:val="24"/>
          <w:szCs w:val="24"/>
        </w:rPr>
        <w:t xml:space="preserve"> Условия подготовки и процедура проведения защиты выпускной квалификационной работы</w:t>
      </w:r>
      <w:r>
        <w:rPr>
          <w:b/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3.2</w:t>
      </w:r>
      <w:r>
        <w:rPr>
          <w:sz w:val="24"/>
          <w:szCs w:val="24"/>
        </w:rPr>
        <w:t xml:space="preserve">.1 Условия подготовки выпускной квалификационной работы: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 Государственной (итоговой) аттестации допускается студент, не имеющий академической задолженности и в полном объеме выполнивший учебный план по осваиваемой образовательной программе среднего профессионального образования.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После утверждения темы </w:t>
      </w:r>
      <w:r>
        <w:rPr>
          <w:sz w:val="24"/>
          <w:szCs w:val="24"/>
        </w:rPr>
        <w:t xml:space="preserve">руководителями ВКР </w:t>
      </w:r>
      <w:r>
        <w:rPr>
          <w:sz w:val="24"/>
          <w:szCs w:val="24"/>
        </w:rPr>
        <w:t xml:space="preserve">разрабатываются и</w:t>
      </w:r>
      <w:r>
        <w:rPr>
          <w:sz w:val="24"/>
          <w:szCs w:val="24"/>
        </w:rPr>
        <w:t xml:space="preserve">ндивидуальны</w:t>
      </w:r>
      <w:r>
        <w:rPr>
          <w:sz w:val="24"/>
          <w:szCs w:val="24"/>
        </w:rPr>
        <w:t xml:space="preserve">е</w:t>
      </w:r>
      <w:r>
        <w:rPr>
          <w:sz w:val="24"/>
          <w:szCs w:val="24"/>
        </w:rPr>
        <w:t xml:space="preserve"> задани</w:t>
      </w:r>
      <w:r>
        <w:rPr>
          <w:sz w:val="24"/>
          <w:szCs w:val="24"/>
        </w:rPr>
        <w:t xml:space="preserve">я</w:t>
      </w:r>
      <w:r>
        <w:rPr>
          <w:sz w:val="24"/>
          <w:szCs w:val="24"/>
        </w:rPr>
        <w:t xml:space="preserve">. И</w:t>
      </w:r>
      <w:r>
        <w:rPr>
          <w:sz w:val="24"/>
          <w:szCs w:val="24"/>
        </w:rPr>
        <w:t xml:space="preserve">ндивидуальны</w:t>
      </w:r>
      <w:r>
        <w:rPr>
          <w:sz w:val="24"/>
          <w:szCs w:val="24"/>
        </w:rPr>
        <w:t xml:space="preserve">е</w:t>
      </w:r>
      <w:r>
        <w:rPr>
          <w:sz w:val="24"/>
          <w:szCs w:val="24"/>
        </w:rPr>
        <w:t xml:space="preserve"> задани</w:t>
      </w:r>
      <w:r>
        <w:rPr>
          <w:sz w:val="24"/>
          <w:szCs w:val="24"/>
        </w:rPr>
        <w:t xml:space="preserve">я рассматриваются </w:t>
      </w:r>
      <w:r>
        <w:rPr>
          <w:sz w:val="24"/>
          <w:szCs w:val="24"/>
        </w:rPr>
        <w:t xml:space="preserve">кафедрами и утвержд</w:t>
      </w:r>
      <w:r>
        <w:rPr>
          <w:sz w:val="24"/>
          <w:szCs w:val="24"/>
        </w:rPr>
        <w:t xml:space="preserve">аются заместителем директора УКРТБ.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</w:t>
      </w:r>
      <w:r>
        <w:rPr>
          <w:sz w:val="24"/>
          <w:szCs w:val="24"/>
        </w:rPr>
        <w:t xml:space="preserve">ндивидуальны</w:t>
      </w:r>
      <w:r>
        <w:rPr>
          <w:sz w:val="24"/>
          <w:szCs w:val="24"/>
        </w:rPr>
        <w:t xml:space="preserve">е</w:t>
      </w:r>
      <w:r>
        <w:rPr>
          <w:sz w:val="24"/>
          <w:szCs w:val="24"/>
        </w:rPr>
        <w:t xml:space="preserve"> задани</w:t>
      </w:r>
      <w:r>
        <w:rPr>
          <w:sz w:val="24"/>
          <w:szCs w:val="24"/>
        </w:rPr>
        <w:t xml:space="preserve">я</w:t>
      </w:r>
      <w:r>
        <w:rPr>
          <w:sz w:val="24"/>
          <w:szCs w:val="24"/>
        </w:rPr>
        <w:t xml:space="preserve"> на ВКР </w:t>
      </w:r>
      <w:r>
        <w:rPr>
          <w:sz w:val="24"/>
          <w:szCs w:val="24"/>
        </w:rPr>
        <w:t xml:space="preserve">в</w:t>
      </w:r>
      <w:r>
        <w:rPr>
          <w:sz w:val="24"/>
          <w:szCs w:val="24"/>
        </w:rPr>
        <w:t xml:space="preserve">ыда</w:t>
      </w:r>
      <w:r>
        <w:rPr>
          <w:sz w:val="24"/>
          <w:szCs w:val="24"/>
        </w:rPr>
        <w:t xml:space="preserve">ются</w:t>
      </w:r>
      <w:r>
        <w:rPr>
          <w:sz w:val="24"/>
          <w:szCs w:val="24"/>
        </w:rPr>
        <w:t xml:space="preserve"> студентам за 2 недели д</w:t>
      </w:r>
      <w:r>
        <w:rPr>
          <w:sz w:val="24"/>
          <w:szCs w:val="24"/>
        </w:rPr>
        <w:t xml:space="preserve">о начала преддипломной практики.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</w:t>
      </w:r>
      <w:r>
        <w:rPr>
          <w:sz w:val="24"/>
          <w:szCs w:val="24"/>
        </w:rPr>
        <w:t xml:space="preserve">бще</w:t>
      </w:r>
      <w:r>
        <w:rPr>
          <w:sz w:val="24"/>
          <w:szCs w:val="24"/>
        </w:rPr>
        <w:t xml:space="preserve">е</w:t>
      </w:r>
      <w:r>
        <w:rPr>
          <w:sz w:val="24"/>
          <w:szCs w:val="24"/>
        </w:rPr>
        <w:t xml:space="preserve"> руководств</w:t>
      </w:r>
      <w:r>
        <w:rPr>
          <w:sz w:val="24"/>
          <w:szCs w:val="24"/>
        </w:rPr>
        <w:t xml:space="preserve">о</w:t>
      </w:r>
      <w:r>
        <w:rPr>
          <w:sz w:val="24"/>
          <w:szCs w:val="24"/>
        </w:rPr>
        <w:t xml:space="preserve"> и контрол</w:t>
      </w:r>
      <w:r>
        <w:rPr>
          <w:sz w:val="24"/>
          <w:szCs w:val="24"/>
        </w:rPr>
        <w:t xml:space="preserve">ь</w:t>
      </w:r>
      <w:r>
        <w:rPr>
          <w:sz w:val="24"/>
          <w:szCs w:val="24"/>
        </w:rPr>
        <w:t xml:space="preserve"> за ходом выполнения ВКР </w:t>
      </w:r>
      <w:r>
        <w:rPr>
          <w:sz w:val="24"/>
          <w:szCs w:val="24"/>
        </w:rPr>
        <w:t xml:space="preserve">о</w:t>
      </w:r>
      <w:r>
        <w:rPr>
          <w:sz w:val="24"/>
          <w:szCs w:val="24"/>
        </w:rPr>
        <w:t xml:space="preserve">существл</w:t>
      </w:r>
      <w:r>
        <w:rPr>
          <w:sz w:val="24"/>
          <w:szCs w:val="24"/>
        </w:rPr>
        <w:t xml:space="preserve">яется </w:t>
      </w:r>
      <w:r>
        <w:rPr>
          <w:sz w:val="24"/>
          <w:szCs w:val="24"/>
        </w:rPr>
        <w:t xml:space="preserve">заместителем директора УКРТБ, заведующими отделениями, заведующим кафедрой в соответств</w:t>
      </w:r>
      <w:r>
        <w:rPr>
          <w:sz w:val="24"/>
          <w:szCs w:val="24"/>
        </w:rPr>
        <w:t xml:space="preserve">ии с должностными обязанностями.</w:t>
      </w:r>
      <w:r>
        <w:rPr>
          <w:sz w:val="24"/>
          <w:szCs w:val="24"/>
        </w:rPr>
      </w:r>
    </w:p>
    <w:p>
      <w:pPr>
        <w:pStyle w:val="695"/>
        <w:pBdr/>
        <w:spacing/>
        <w:ind/>
        <w:jc w:val="center"/>
        <w:rPr>
          <w:b/>
        </w:rPr>
      </w:pPr>
      <w:r>
        <w:rPr>
          <w:b/>
        </w:rPr>
      </w:r>
      <w:r>
        <w:rPr>
          <w:b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3.2.2</w:t>
      </w:r>
      <w:r>
        <w:rPr>
          <w:sz w:val="24"/>
          <w:szCs w:val="24"/>
        </w:rPr>
        <w:t xml:space="preserve"> Защита ВКР 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Допуск к защите ВКР оформляется приказом директора колледжа.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Защита ВКР проводится на открытом заседании Государственной экзаменационной комиссии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защиту ВКР отводится 45 минут. Процедура защиты: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доклад студента 10-15 минут;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чтение отзыва и рецензии (не более 5 минут);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вопросы членов Г</w:t>
      </w:r>
      <w:r>
        <w:rPr>
          <w:sz w:val="24"/>
          <w:szCs w:val="24"/>
        </w:rPr>
        <w:t xml:space="preserve">Э</w:t>
      </w:r>
      <w:r>
        <w:rPr>
          <w:sz w:val="24"/>
          <w:szCs w:val="24"/>
        </w:rPr>
        <w:t xml:space="preserve">К и ответы студента (не более 15 минут);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по желанию (необходимости) </w:t>
      </w:r>
      <w:r>
        <w:rPr>
          <w:sz w:val="24"/>
          <w:szCs w:val="24"/>
        </w:rPr>
        <w:t xml:space="preserve">выступление руководителя ВКР и рецензента (если они присутствуют на заседании Г</w:t>
      </w:r>
      <w:r>
        <w:rPr>
          <w:sz w:val="24"/>
          <w:szCs w:val="24"/>
        </w:rPr>
        <w:t xml:space="preserve">Э</w:t>
      </w:r>
      <w:r>
        <w:rPr>
          <w:sz w:val="24"/>
          <w:szCs w:val="24"/>
        </w:rPr>
        <w:t xml:space="preserve">К) с целью защиты, согласия или несо</w:t>
      </w:r>
      <w:r>
        <w:rPr>
          <w:sz w:val="24"/>
          <w:szCs w:val="24"/>
        </w:rPr>
        <w:t xml:space="preserve">гласия с оценкой конкретной ВКР</w:t>
      </w:r>
      <w:r>
        <w:rPr>
          <w:sz w:val="24"/>
          <w:szCs w:val="24"/>
        </w:rPr>
        <w:t xml:space="preserve"> (не более 15 минут).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Заседание Г</w:t>
      </w:r>
      <w:r>
        <w:rPr>
          <w:sz w:val="24"/>
          <w:szCs w:val="24"/>
        </w:rPr>
        <w:t xml:space="preserve">Э</w:t>
      </w:r>
      <w:r>
        <w:rPr>
          <w:sz w:val="24"/>
          <w:szCs w:val="24"/>
        </w:rPr>
        <w:t xml:space="preserve">К протоколируется. В протоколе записываются: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итоговая оценка ВКР;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присуждение квалификации;</w:t>
      </w:r>
      <w:r>
        <w:rPr>
          <w:sz w:val="24"/>
          <w:szCs w:val="24"/>
        </w:rPr>
      </w:r>
    </w:p>
    <w:p>
      <w:pPr>
        <w:pBdr/>
        <w:spacing/>
        <w:ind w:firstLine="425"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особое мнение членов комиссии. </w:t>
      </w:r>
      <w:r>
        <w:rPr>
          <w:sz w:val="24"/>
          <w:szCs w:val="24"/>
        </w:rPr>
      </w:r>
    </w:p>
    <w:p>
      <w:pPr>
        <w:pBdr/>
        <w:spacing/>
        <w:ind w:firstLine="709" w:left="284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4. ОЦЕНКА РЕЗУЛЬТАТОВ ГОСУДАРСТВЕННОЙ ИТОГОВОЙ АТТЕСТАЦИИ</w:t>
      </w:r>
      <w:r>
        <w:rPr>
          <w:b/>
          <w:sz w:val="24"/>
          <w:szCs w:val="24"/>
        </w:rPr>
      </w:r>
    </w:p>
    <w:p>
      <w:pPr>
        <w:pStyle w:val="695"/>
        <w:pBdr/>
        <w:spacing/>
        <w:ind w:firstLine="709"/>
        <w:rPr/>
      </w:pPr>
      <w:r/>
      <w:r/>
    </w:p>
    <w:p>
      <w:pPr>
        <w:pStyle w:val="695"/>
        <w:pBdr/>
        <w:spacing/>
        <w:ind w:firstLine="709"/>
        <w:jc w:val="center"/>
        <w:rPr>
          <w:b/>
        </w:rPr>
      </w:pPr>
      <w:r>
        <w:rPr>
          <w:b/>
        </w:rPr>
        <w:t xml:space="preserve">4.1 Критерии оценки вы</w:t>
      </w:r>
      <w:r>
        <w:rPr>
          <w:b/>
        </w:rPr>
        <w:t xml:space="preserve">пускной квалификационной работы</w:t>
      </w:r>
      <w:r>
        <w:rPr>
          <w:b/>
        </w:rPr>
      </w:r>
    </w:p>
    <w:p>
      <w:pPr>
        <w:pStyle w:val="695"/>
        <w:pBdr/>
        <w:spacing/>
        <w:ind w:firstLine="709"/>
        <w:jc w:val="both"/>
        <w:rPr/>
      </w:pPr>
      <w:r/>
      <w:r/>
    </w:p>
    <w:p>
      <w:pPr>
        <w:pStyle w:val="695"/>
        <w:pBdr/>
        <w:spacing/>
        <w:ind w:firstLine="709"/>
        <w:jc w:val="both"/>
        <w:rPr/>
      </w:pPr>
      <w:r>
        <w:t xml:space="preserve">- соответствие названия работы ее содержанию, четкая целевая направленность;</w:t>
      </w:r>
      <w:r/>
    </w:p>
    <w:p>
      <w:pPr>
        <w:pStyle w:val="695"/>
        <w:pBdr/>
        <w:spacing/>
        <w:ind w:firstLine="709"/>
        <w:jc w:val="both"/>
        <w:rPr/>
      </w:pPr>
      <w:r>
        <w:t xml:space="preserve">- логическая последовательность изложения материала;</w:t>
      </w:r>
      <w:r/>
    </w:p>
    <w:p>
      <w:pPr>
        <w:pStyle w:val="695"/>
        <w:pBdr/>
        <w:spacing/>
        <w:ind w:firstLine="709"/>
        <w:jc w:val="both"/>
        <w:rPr/>
      </w:pPr>
      <w:r>
        <w:t xml:space="preserve">- необходимая глубина исследования и убедительность аргументации;</w:t>
      </w:r>
      <w:r/>
    </w:p>
    <w:p>
      <w:pPr>
        <w:pStyle w:val="695"/>
        <w:pBdr/>
        <w:spacing/>
        <w:ind w:firstLine="709"/>
        <w:jc w:val="both"/>
        <w:rPr/>
      </w:pPr>
      <w:r>
        <w:t xml:space="preserve">- конкретность представления практических результатов работы;</w:t>
      </w:r>
      <w:r/>
    </w:p>
    <w:p>
      <w:pPr>
        <w:pStyle w:val="695"/>
        <w:pBdr/>
        <w:spacing/>
        <w:ind w:firstLine="709"/>
        <w:jc w:val="both"/>
        <w:rPr/>
      </w:pPr>
      <w:r>
        <w:t xml:space="preserve">- соответствие оформления выпускной квалификационной работы требованиям ГОСТ Р 705 -2008 и методическим рекомендациям по оформлению выпускных квалификационных работ.</w:t>
      </w:r>
      <w:r/>
    </w:p>
    <w:p>
      <w:pPr>
        <w:pStyle w:val="695"/>
        <w:pBdr/>
        <w:spacing/>
        <w:ind w:firstLine="709"/>
        <w:jc w:val="both"/>
        <w:rPr/>
      </w:pPr>
      <w:r/>
      <w:r/>
    </w:p>
    <w:p>
      <w:pPr>
        <w:pStyle w:val="695"/>
        <w:pBdr/>
        <w:spacing/>
        <w:ind w:firstLine="709"/>
        <w:jc w:val="center"/>
        <w:rPr>
          <w:b/>
        </w:rPr>
      </w:pPr>
      <w:r>
        <w:rPr>
          <w:b/>
        </w:rPr>
        <w:t xml:space="preserve">4</w:t>
      </w:r>
      <w:r>
        <w:rPr>
          <w:b/>
        </w:rPr>
        <w:t xml:space="preserve">.2 Критерии оценки защиты вы</w:t>
      </w:r>
      <w:r>
        <w:rPr>
          <w:b/>
        </w:rPr>
        <w:t xml:space="preserve">пускной квалификационной работы</w:t>
      </w:r>
      <w:r>
        <w:rPr>
          <w:b/>
        </w:rPr>
      </w:r>
    </w:p>
    <w:p>
      <w:pPr>
        <w:pStyle w:val="695"/>
        <w:pBdr/>
        <w:spacing/>
        <w:ind w:firstLine="709"/>
        <w:jc w:val="both"/>
        <w:rPr/>
      </w:pPr>
      <w:r/>
      <w:r/>
    </w:p>
    <w:p>
      <w:pPr>
        <w:pStyle w:val="695"/>
        <w:pBdr/>
        <w:spacing/>
        <w:ind w:firstLine="709"/>
        <w:jc w:val="both"/>
        <w:rPr/>
      </w:pPr>
      <w:r>
        <w:t xml:space="preserve">- четкость и грамотность доклада;</w:t>
      </w:r>
      <w:r/>
    </w:p>
    <w:p>
      <w:pPr>
        <w:pStyle w:val="695"/>
        <w:pBdr/>
        <w:spacing/>
        <w:ind w:firstLine="709"/>
        <w:jc w:val="both"/>
        <w:rPr/>
      </w:pPr>
      <w:r>
        <w:t xml:space="preserve">- четкость, внятность, глубина ответов на вопросы присутствующих на заседании Г</w:t>
      </w:r>
      <w:r>
        <w:t xml:space="preserve">Э</w:t>
      </w:r>
      <w:r>
        <w:t xml:space="preserve">К;</w:t>
      </w:r>
      <w:r/>
    </w:p>
    <w:p>
      <w:pPr>
        <w:pStyle w:val="695"/>
        <w:pBdr/>
        <w:spacing/>
        <w:ind w:firstLine="709"/>
        <w:jc w:val="both"/>
        <w:rPr/>
      </w:pPr>
      <w:r>
        <w:t xml:space="preserve">- использование технических средств для сопровождения доклада.</w:t>
      </w:r>
      <w:r/>
    </w:p>
    <w:p>
      <w:pPr>
        <w:pStyle w:val="695"/>
        <w:pBdr/>
        <w:spacing/>
        <w:ind w:firstLine="709"/>
        <w:jc w:val="both"/>
        <w:rPr/>
      </w:pPr>
      <w:r/>
      <w:r/>
    </w:p>
    <w:p>
      <w:pPr>
        <w:pStyle w:val="695"/>
        <w:pBdr/>
        <w:spacing/>
        <w:ind w:firstLine="709"/>
        <w:jc w:val="center"/>
        <w:rPr>
          <w:b/>
        </w:rPr>
      </w:pPr>
      <w:r>
        <w:rPr>
          <w:b/>
        </w:rPr>
        <w:t xml:space="preserve">4</w:t>
      </w:r>
      <w:r>
        <w:rPr>
          <w:b/>
        </w:rPr>
        <w:t xml:space="preserve">.3 </w:t>
      </w:r>
      <w:r>
        <w:rPr>
          <w:b/>
        </w:rPr>
        <w:t xml:space="preserve">Определение </w:t>
      </w:r>
      <w:r>
        <w:rPr>
          <w:b/>
        </w:rPr>
        <w:t xml:space="preserve">окончательной оценки</w:t>
      </w:r>
      <w:r>
        <w:rPr>
          <w:b/>
        </w:rPr>
      </w:r>
    </w:p>
    <w:p>
      <w:pPr>
        <w:pStyle w:val="695"/>
        <w:pBdr/>
        <w:spacing/>
        <w:ind w:firstLine="709"/>
        <w:jc w:val="both"/>
        <w:rPr/>
      </w:pPr>
      <w:r/>
      <w:r/>
    </w:p>
    <w:p>
      <w:pPr>
        <w:pStyle w:val="695"/>
        <w:pBdr/>
        <w:spacing/>
        <w:ind w:firstLine="709"/>
        <w:jc w:val="both"/>
        <w:rPr/>
      </w:pPr>
      <w:r>
        <w:t xml:space="preserve">При определении окончательной оценки за защиту дипломного проекта (работы) учитываются:</w:t>
      </w:r>
      <w:r/>
    </w:p>
    <w:p>
      <w:pPr>
        <w:pStyle w:val="695"/>
        <w:pBdr/>
        <w:spacing/>
        <w:ind w:firstLine="709"/>
        <w:jc w:val="both"/>
        <w:rPr/>
      </w:pPr>
      <w:r>
        <w:t xml:space="preserve">- </w:t>
      </w:r>
      <w:r>
        <w:t xml:space="preserve">доклад выпускника по каждому разделу выпускной работы;</w:t>
      </w:r>
      <w:r/>
    </w:p>
    <w:p>
      <w:pPr>
        <w:pStyle w:val="695"/>
        <w:pBdr/>
        <w:spacing/>
        <w:ind w:firstLine="709"/>
        <w:jc w:val="both"/>
        <w:rPr/>
      </w:pPr>
      <w:r>
        <w:t xml:space="preserve">- ответы на </w:t>
      </w:r>
      <w:r>
        <w:t xml:space="preserve">вопросы;</w:t>
      </w:r>
      <w:r/>
    </w:p>
    <w:p>
      <w:pPr>
        <w:pStyle w:val="695"/>
        <w:pBdr/>
        <w:spacing/>
        <w:ind w:firstLine="709"/>
        <w:jc w:val="both"/>
        <w:rPr/>
      </w:pPr>
      <w:r>
        <w:t xml:space="preserve">- оценка рецензента;</w:t>
      </w:r>
      <w:r/>
    </w:p>
    <w:p>
      <w:pPr>
        <w:pStyle w:val="695"/>
        <w:pBdr/>
        <w:spacing/>
        <w:ind w:firstLine="709"/>
        <w:jc w:val="both"/>
        <w:rPr/>
      </w:pPr>
      <w:r>
        <w:t xml:space="preserve">- отзыв руководителя.</w:t>
      </w:r>
      <w:r/>
    </w:p>
    <w:p>
      <w:pPr>
        <w:pStyle w:val="695"/>
        <w:pBdr/>
        <w:spacing/>
        <w:ind w:firstLine="709"/>
        <w:jc w:val="both"/>
        <w:rPr/>
      </w:pPr>
      <w:r/>
      <w:r/>
    </w:p>
    <w:p>
      <w:pPr>
        <w:pStyle w:val="695"/>
        <w:pBdr/>
        <w:spacing/>
        <w:ind w:firstLine="709"/>
        <w:jc w:val="both"/>
        <w:rPr/>
      </w:pPr>
      <w:r>
        <w:t xml:space="preserve">«Отлично» выставляется за следующую выпускную квалификационную работу: </w:t>
      </w:r>
      <w:r/>
    </w:p>
    <w:p>
      <w:pPr>
        <w:pStyle w:val="695"/>
        <w:pBdr/>
        <w:spacing/>
        <w:ind w:firstLine="709"/>
        <w:jc w:val="both"/>
        <w:rPr/>
      </w:pPr>
      <w:r>
        <w:t xml:space="preserve">- работа носит исследовательский характер, содержит грамотно изложенную теоретическую базу, глубокий анализ проблемы, характеризуется логичным, последовательным изложением материала с соответствующими выводами и обоснованными предложениями; </w:t>
      </w:r>
      <w:r/>
    </w:p>
    <w:p>
      <w:pPr>
        <w:pStyle w:val="695"/>
        <w:pBdr/>
        <w:spacing/>
        <w:ind w:firstLine="709"/>
        <w:jc w:val="both"/>
        <w:rPr/>
      </w:pPr>
      <w:r>
        <w:t xml:space="preserve">- имеет положительные отзывы руководителя и рецензента; </w:t>
      </w:r>
      <w:r/>
    </w:p>
    <w:p>
      <w:pPr>
        <w:pStyle w:val="695"/>
        <w:pBdr/>
        <w:spacing/>
        <w:ind w:firstLine="709"/>
        <w:jc w:val="both"/>
        <w:rPr/>
      </w:pPr>
      <w:r>
        <w:t xml:space="preserve">- при защите работы студент показывает глубокие знания вопросов темы, свободно </w:t>
      </w:r>
      <w:r>
        <w:t xml:space="preserve">оперирует данными исследования, вносит обоснованные предложения, во время доклада использует презентацию и наглядные пособия (таблицы, схемы, графики и т. п.) или раздаточный материал, легко отвечает на поставленные вопросы.</w:t>
      </w:r>
      <w:r/>
    </w:p>
    <w:p>
      <w:pPr>
        <w:pStyle w:val="695"/>
        <w:pBdr/>
        <w:spacing/>
        <w:ind w:firstLine="709"/>
        <w:jc w:val="both"/>
        <w:rPr/>
      </w:pPr>
      <w:r>
        <w:t xml:space="preserve">«Хорошо» выставляется за следующую выпускную квалификационную работу: </w:t>
      </w:r>
      <w:r/>
    </w:p>
    <w:p>
      <w:pPr>
        <w:pStyle w:val="695"/>
        <w:pBdr/>
        <w:spacing/>
        <w:ind w:firstLine="709"/>
        <w:jc w:val="both"/>
        <w:rPr/>
      </w:pPr>
      <w:r>
        <w:t xml:space="preserve">- раб</w:t>
      </w:r>
      <w:r>
        <w:t xml:space="preserve">ота носит исследовательский характер, содержит грамотно изложенную теоретическую базу, достаточно подробный анализ проблемы, характеризуется последовательным изложением материала с соответствующими выводами, однако с не вполне обоснованными предложениями; </w:t>
      </w:r>
      <w:r/>
    </w:p>
    <w:p>
      <w:pPr>
        <w:pStyle w:val="695"/>
        <w:pBdr/>
        <w:spacing/>
        <w:ind w:firstLine="709"/>
        <w:jc w:val="both"/>
        <w:rPr/>
      </w:pPr>
      <w:r>
        <w:t xml:space="preserve">- имеет положительный отзыв руководителя и рецензента; </w:t>
      </w:r>
      <w:r/>
    </w:p>
    <w:p>
      <w:pPr>
        <w:pStyle w:val="695"/>
        <w:pBdr/>
        <w:spacing/>
        <w:ind w:firstLine="709"/>
        <w:jc w:val="both"/>
        <w:rPr/>
      </w:pPr>
      <w:r>
        <w:t xml:space="preserve">- при защите студент показы</w:t>
      </w:r>
      <w:r>
        <w:t xml:space="preserve">вает знания вопросов темы, оперирует данными исследования, вносит предложения, во время доклада использует презентацию и наглядные пособия (таблицы, схемы, графики и т. п.) или раздаточный материал, без особых затруднений отвечает на поставленные вопросы. </w:t>
      </w:r>
      <w:r/>
    </w:p>
    <w:p>
      <w:pPr>
        <w:pStyle w:val="695"/>
        <w:pBdr/>
        <w:spacing/>
        <w:ind w:firstLine="709"/>
        <w:jc w:val="both"/>
        <w:rPr/>
      </w:pPr>
      <w:r>
        <w:t xml:space="preserve">«Удовлетворительно» выставляется за следующую выпускную квалификационную работу:</w:t>
      </w:r>
      <w:r/>
    </w:p>
    <w:p>
      <w:pPr>
        <w:pStyle w:val="695"/>
        <w:pBdr/>
        <w:spacing/>
        <w:ind w:firstLine="709"/>
        <w:jc w:val="both"/>
        <w:rPr/>
      </w:pPr>
      <w:r>
        <w:t xml:space="preserve">- носит исследовательский характер, содержит теоретическую главу, базируется на практическом материале, но отличается поверхностным анализом проблемы, в ней просматривается непоследовательность изложения материала, представлены необоснованные предложения; </w:t>
      </w:r>
      <w:r/>
    </w:p>
    <w:p>
      <w:pPr>
        <w:pStyle w:val="695"/>
        <w:pBdr/>
        <w:spacing/>
        <w:ind w:firstLine="709"/>
        <w:jc w:val="both"/>
        <w:rPr/>
      </w:pPr>
      <w:r>
        <w:t xml:space="preserve">- в отзывах руководителя и рецензента имеются замечания по содержанию работы и методике анализа; </w:t>
      </w:r>
      <w:r/>
    </w:p>
    <w:p>
      <w:pPr>
        <w:pStyle w:val="695"/>
        <w:pBdr/>
        <w:spacing/>
        <w:ind w:firstLine="709"/>
        <w:jc w:val="both"/>
        <w:rPr/>
      </w:pPr>
      <w:r>
        <w:t xml:space="preserve">- при защите студент проявляет неуверенность, показывает слабое знание вопросов темы, не дает полного, аргументированного ответа на заданные вопросы. </w:t>
      </w:r>
      <w:r/>
    </w:p>
    <w:p>
      <w:pPr>
        <w:pStyle w:val="695"/>
        <w:pBdr/>
        <w:spacing/>
        <w:ind w:firstLine="709"/>
        <w:jc w:val="both"/>
        <w:rPr/>
      </w:pPr>
      <w:r>
        <w:t xml:space="preserve">«Неудовлетворительно» выставляется за следующую выпускную квалификационную работу: </w:t>
      </w:r>
      <w:r/>
    </w:p>
    <w:p>
      <w:pPr>
        <w:pStyle w:val="695"/>
        <w:pBdr/>
        <w:spacing/>
        <w:ind w:firstLine="709"/>
        <w:jc w:val="both"/>
        <w:rPr/>
      </w:pPr>
      <w:r>
        <w:t xml:space="preserve">- не носит исследовательского характера, не содержит анализа проблемы, не отвечает требованиям, изложенным в методических указаниях; </w:t>
      </w:r>
      <w:r/>
    </w:p>
    <w:p>
      <w:pPr>
        <w:pStyle w:val="695"/>
        <w:pBdr/>
        <w:spacing/>
        <w:ind w:firstLine="709"/>
        <w:jc w:val="both"/>
        <w:rPr/>
      </w:pPr>
      <w:r>
        <w:t xml:space="preserve">- не имеет выводов либо они носят декларативный характер; </w:t>
      </w:r>
      <w:r/>
    </w:p>
    <w:p>
      <w:pPr>
        <w:pStyle w:val="695"/>
        <w:pBdr/>
        <w:spacing/>
        <w:ind w:firstLine="709"/>
        <w:jc w:val="both"/>
        <w:rPr/>
      </w:pPr>
      <w:r>
        <w:t xml:space="preserve">- в отзывах руководителя и рецензента имеются существенные критические замечания; </w:t>
      </w:r>
      <w:r/>
    </w:p>
    <w:p>
      <w:pPr>
        <w:pStyle w:val="695"/>
        <w:pBdr/>
        <w:spacing/>
        <w:ind w:firstLine="709"/>
        <w:jc w:val="both"/>
        <w:rPr/>
      </w:pPr>
      <w:r>
        <w:t xml:space="preserve">- при защите студент затрудняется отвечать на поставленные вопросы по теме, не знает теории вопроса, при ответе допускает существенные ошибки, к защите не подготовлены презентация, наглядные пособия или раздаточный материал.</w:t>
      </w:r>
      <w:r/>
    </w:p>
    <w:p>
      <w:pPr>
        <w:pStyle w:val="695"/>
        <w:pBdr/>
        <w:spacing/>
        <w:ind w:firstLine="709"/>
        <w:jc w:val="both"/>
        <w:rPr/>
      </w:pPr>
      <w:r>
        <w:t xml:space="preserve">Общая оценка защиты выставляется на закрытом заседании Г</w:t>
      </w:r>
      <w:r>
        <w:t xml:space="preserve">Э</w:t>
      </w:r>
      <w:r>
        <w:t xml:space="preserve">К простым большинством голосов членов Г</w:t>
      </w:r>
      <w:r>
        <w:t xml:space="preserve">Э</w:t>
      </w:r>
      <w:r>
        <w:t xml:space="preserve">К. При равенстве голосов, решение принимает председатель Г</w:t>
      </w:r>
      <w:r>
        <w:t xml:space="preserve">Э</w:t>
      </w:r>
      <w:r>
        <w:t xml:space="preserve">К.</w:t>
      </w:r>
      <w:r/>
    </w:p>
    <w:p>
      <w:pPr>
        <w:pStyle w:val="695"/>
        <w:pBdr/>
        <w:spacing/>
        <w:ind w:firstLine="709"/>
        <w:jc w:val="both"/>
        <w:rPr/>
      </w:pPr>
      <w:r>
        <w:t xml:space="preserve">Студенты, выполнившие выпускную квалификационную работу, но получившие при защите оценку «неудовлетворительно», имеют право на повторную защиту (не ранее, чем через 6 месяцев после прохождения ГИА впервые).</w:t>
      </w:r>
      <w:r/>
    </w:p>
    <w:p>
      <w:pPr>
        <w:pStyle w:val="695"/>
        <w:pBdr/>
        <w:spacing/>
        <w:ind w:firstLine="709"/>
        <w:jc w:val="both"/>
        <w:rPr/>
      </w:pPr>
      <w:r>
        <w:t xml:space="preserve">По результатам защиты составляется отчет о защите выпускных квалификационных работ за подписью председателя Г</w:t>
      </w:r>
      <w:r>
        <w:t xml:space="preserve">Э</w:t>
      </w:r>
      <w:r>
        <w:t xml:space="preserve">К.</w:t>
      </w:r>
      <w:r/>
    </w:p>
    <w:p>
      <w:pPr>
        <w:pStyle w:val="695"/>
        <w:pBdr/>
        <w:spacing/>
        <w:ind w:firstLine="709"/>
        <w:jc w:val="right"/>
        <w:rPr>
          <w:b/>
        </w:rPr>
      </w:pPr>
      <w:r>
        <w:rPr>
          <w:b/>
        </w:rPr>
      </w:r>
      <w:r>
        <w:rPr>
          <w:b/>
        </w:rPr>
      </w:r>
    </w:p>
    <w:p>
      <w:pPr>
        <w:pStyle w:val="695"/>
        <w:pBdr/>
        <w:spacing/>
        <w:ind w:firstLine="709"/>
        <w:jc w:val="right"/>
        <w:rPr>
          <w:b/>
        </w:rPr>
      </w:pPr>
      <w:r>
        <w:rPr>
          <w:b/>
        </w:rPr>
      </w:r>
      <w:r>
        <w:rPr>
          <w:b/>
        </w:rPr>
      </w:r>
    </w:p>
    <w:p>
      <w:pPr>
        <w:pStyle w:val="695"/>
        <w:pBdr/>
        <w:spacing/>
        <w:ind w:firstLine="709"/>
        <w:jc w:val="right"/>
        <w:rPr>
          <w:b/>
        </w:rPr>
      </w:pPr>
      <w:r>
        <w:rPr>
          <w:b/>
        </w:rPr>
      </w:r>
      <w:r>
        <w:rPr>
          <w:b/>
        </w:rPr>
      </w:r>
    </w:p>
    <w:p>
      <w:pPr>
        <w:pStyle w:val="695"/>
        <w:pBdr/>
        <w:spacing/>
        <w:ind w:firstLine="709"/>
        <w:jc w:val="right"/>
        <w:rPr>
          <w:b/>
        </w:rPr>
      </w:pPr>
      <w:r>
        <w:rPr>
          <w:b/>
        </w:rPr>
      </w:r>
      <w:r>
        <w:rPr>
          <w:b/>
        </w:rPr>
      </w:r>
    </w:p>
    <w:p>
      <w:pPr>
        <w:pStyle w:val="695"/>
        <w:pBdr/>
        <w:spacing/>
        <w:ind w:firstLine="709"/>
        <w:jc w:val="right"/>
        <w:rPr>
          <w:b/>
        </w:rPr>
      </w:pPr>
      <w:r>
        <w:rPr>
          <w:b/>
        </w:rPr>
      </w:r>
      <w:r>
        <w:rPr>
          <w:b/>
        </w:rPr>
      </w:r>
    </w:p>
    <w:p>
      <w:pPr>
        <w:pStyle w:val="695"/>
        <w:pBdr/>
        <w:spacing/>
        <w:ind w:firstLine="709"/>
        <w:jc w:val="right"/>
        <w:rPr>
          <w:b/>
        </w:rPr>
      </w:pPr>
      <w:r>
        <w:rPr>
          <w:b/>
        </w:rPr>
      </w:r>
      <w:r>
        <w:rPr>
          <w:b/>
        </w:rPr>
      </w:r>
    </w:p>
    <w:p>
      <w:pPr>
        <w:pStyle w:val="695"/>
        <w:pBdr/>
        <w:spacing/>
        <w:ind w:firstLine="709"/>
        <w:jc w:val="right"/>
        <w:rPr>
          <w:b/>
        </w:rPr>
      </w:pPr>
      <w:r>
        <w:rPr>
          <w:b/>
        </w:rPr>
      </w:r>
      <w:r>
        <w:rPr>
          <w:b/>
        </w:rPr>
      </w:r>
    </w:p>
    <w:p>
      <w:pPr>
        <w:pStyle w:val="695"/>
        <w:pBdr/>
        <w:spacing/>
        <w:ind w:firstLine="709"/>
        <w:jc w:val="right"/>
        <w:rPr>
          <w:b/>
        </w:rPr>
      </w:pPr>
      <w:r>
        <w:rPr>
          <w:b/>
        </w:rPr>
      </w:r>
      <w:r>
        <w:rPr>
          <w:b/>
        </w:rPr>
      </w:r>
    </w:p>
    <w:p>
      <w:pPr>
        <w:pStyle w:val="695"/>
        <w:pBdr/>
        <w:spacing/>
        <w:ind w:firstLine="709"/>
        <w:jc w:val="right"/>
        <w:rPr>
          <w:b/>
        </w:rPr>
      </w:pPr>
      <w:r>
        <w:rPr>
          <w:b/>
        </w:rPr>
      </w:r>
      <w:r>
        <w:rPr>
          <w:b/>
        </w:rPr>
      </w:r>
    </w:p>
    <w:p>
      <w:pPr>
        <w:pStyle w:val="695"/>
        <w:pBdr/>
        <w:spacing/>
        <w:ind w:firstLine="709"/>
        <w:jc w:val="right"/>
        <w:rPr>
          <w:b/>
        </w:rPr>
      </w:pPr>
      <w:r>
        <w:rPr>
          <w:b/>
        </w:rPr>
      </w:r>
      <w:r>
        <w:rPr>
          <w:b/>
        </w:rPr>
      </w:r>
    </w:p>
    <w:p>
      <w:pPr>
        <w:pStyle w:val="695"/>
        <w:pBdr/>
        <w:spacing/>
        <w:ind w:firstLine="709"/>
        <w:jc w:val="right"/>
        <w:rPr>
          <w:b/>
        </w:rPr>
      </w:pPr>
      <w:r>
        <w:rPr>
          <w:b/>
        </w:rPr>
      </w:r>
      <w:r>
        <w:rPr>
          <w:b/>
        </w:rPr>
      </w:r>
    </w:p>
    <w:p>
      <w:pPr>
        <w:pStyle w:val="695"/>
        <w:pBdr/>
        <w:spacing/>
        <w:ind w:firstLine="709"/>
        <w:jc w:val="center"/>
        <w:rPr>
          <w:b/>
        </w:rPr>
      </w:pPr>
      <w:r>
        <w:rPr>
          <w:b/>
        </w:rPr>
        <w:t xml:space="preserve">5 ПОРЯДОК АПЕЛЛЯЦИИ И ПЕРЕСДАЧИ ГОСУДАРСТВЕННОЙ ИТОГОВОЙ АТТЕСТАЦИИ</w:t>
      </w:r>
      <w:r>
        <w:rPr>
          <w:b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5.1 Порядок подачи и рассмотрения апелляций</w:t>
      </w:r>
      <w:r>
        <w:rPr>
          <w:b/>
          <w:bCs/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 рез</w:t>
      </w:r>
      <w:r>
        <w:rPr>
          <w:sz w:val="24"/>
          <w:szCs w:val="24"/>
        </w:rPr>
        <w:t xml:space="preserve">ультатам государственной итоговой аттестации выпускник имеет право подать в апелляционную комиссию письменную апелляцию о нарушении, по его мнению, установленного порядка проведения государственной итоговой аттестации и (или) несогласии с ее результатами. 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Апелляция подается лично выпускником в апелляционную комиссию колледжа.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Апелляция о нарушении порядка проведения итоговой аттестации в форме защиты выпускной квалификационной работы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 xml:space="preserve">подается непосредственно в день проведения защиты.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Апелляция о несогласии с результатами ГИА подается не позднее следующего рабочего дня после объявления результатов ГИА.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Апелляция рассматривается апелляционной комиссией не позднее трех рабочих дней с момента ее поступления. 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Состав апелляционной комиссии утверждается образовательной организацией одновременно с утверждением состава ГЭК. Апелляционная комиссия состоит и</w:t>
      </w:r>
      <w:r>
        <w:rPr>
          <w:sz w:val="24"/>
          <w:szCs w:val="24"/>
        </w:rPr>
        <w:t xml:space="preserve">з председателя апелляционной комиссии, не менее пяти членов апелляционной комиссии и секретаря апелляционной комиссии из числа педагогических работников образовательной организации, не входящих в данном учебном году в состав ГЭК. Председателем апелляционно</w:t>
      </w:r>
      <w:r>
        <w:rPr>
          <w:sz w:val="24"/>
          <w:szCs w:val="24"/>
        </w:rPr>
        <w:t xml:space="preserve">й комиссии может быть назначено лицо из числа руководителей или заместителей руководителей организаций, осуществляющих образовательную деятельность, соответствующую области профессиональной деятельности, к которой готовятся выпускники, представителей орган</w:t>
      </w:r>
      <w:r>
        <w:rPr>
          <w:sz w:val="24"/>
          <w:szCs w:val="24"/>
        </w:rPr>
        <w:t xml:space="preserve">изаций-партнеров или их объединений, включая экспертов, при условии, что направление деятельности данных представителей соответствует области профессиональной деятельности, к которой готовятся выпускники, при условии, что такое лицо не входит в состав ГЭК.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Апелляция рассматривается на заседании апелляционной комиссии с участием не менее двух третей ее состава. На заседание апелляционной комиссии приглашается председатель соответствующей ГЭК, а также главный эксперт при </w:t>
      </w:r>
      <w:r>
        <w:rPr>
          <w:sz w:val="24"/>
          <w:szCs w:val="24"/>
        </w:rPr>
        <w:t xml:space="preserve">проведении ГИА в форме демонстрационного экзамена. При проведении ГИА в форме демонстрационного экзамена по решению председателя апелляционной комиссии к участию в заседании комиссии могут быть также привлечены члены экспертной группы, технический эксперт.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 решению председателя апелляционной комиссии заседание апелляционной комиссии может пройти с применением средств видео, конференц-связи, а равно посредством предоставления письменных пояснений по поставленным апелляционной комиссией вопросам.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Выпускник, подавший апелляцию, имеет право присутствовать при рассмотрении апелляции.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Рассмотрение апелляции не является пересдачей ГИА.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 рассмотрении апелляции о нарушении Порядка апелляционная комиссия устанавливает достоверность изложенных в ней сведений и выносит одно из следующих решений: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об отклонении апелляции, если изложенные в ней сведения о нарушениях Порядка не подтвердились и (или) не повлияли на результат ГИА;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об удовлетворении апелляции, если изложенные в ней сведения о допущенных нарушениях Порядка подтвердились и повлияли на результат ГИА.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последнем случае результаты проведения ГИА подлежат аннулированию, в связи с чем протокол о рассмотрении апелляции не позднее следующего рабочего дня передается в ГЭК для реализации решения апелляционной комиссии. Выпускнику </w:t>
      </w:r>
      <w:r>
        <w:rPr>
          <w:sz w:val="24"/>
          <w:szCs w:val="24"/>
        </w:rPr>
        <w:t xml:space="preserve">предоставляется возможность пройти ГИА в дополнительные сроки, установленные образовательной организацией без отчисления такого выпускника из образовательной организации в срок не более четырёх месяцев после подачи апелляции.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случае рассмотрения апе</w:t>
      </w:r>
      <w:r>
        <w:rPr>
          <w:sz w:val="24"/>
          <w:szCs w:val="24"/>
        </w:rPr>
        <w:t xml:space="preserve">лляции о несогласии с результатами ГИА, полученными при защите выпускной квалификационной работы, секретарь ГЭК не позднее следующего рабочего дня с момента поступления апелляции направляет в апелляционную комиссию дипломную работу, протокол заседания ГЭК.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случае рассмотрения апелляции о несогласии </w:t>
      </w:r>
      <w:r>
        <w:rPr>
          <w:sz w:val="24"/>
          <w:szCs w:val="24"/>
        </w:rPr>
        <w:t xml:space="preserve">с результатами ГИА, полученными при сдаче государственного экзамена, секретарь ГЭК не позднее следующего рабочего дня с момента поступления апелляции направляет в апелляционную комиссию протокол заседания ГЭК, письменные ответы выпускника (при их наличии).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результате рассмотрения апелляции о несогласии с результатами ГИА апелляционная комиссия принимает решение об отклонении апелляции и сохранении результата ГИА либо об удовлетворении апелляции и выставлении иного результата ГИА. Решение апелляционной к</w:t>
      </w:r>
      <w:r>
        <w:rPr>
          <w:sz w:val="24"/>
          <w:szCs w:val="24"/>
        </w:rPr>
        <w:t xml:space="preserve">омиссии не позднее следующего рабочего дня передается в ГЭК. Решение апелляционной комиссии является основанием для аннулирования ранее выставленных результатов ГИА выпускника и выставления новых результатов в соответствии с мнением апелляционной комиссии.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Решение апелляционной комиссии принимается простым большинством голосов. При равном числе голосов голос председательствующего на заседании апелляционной комиссии является решающим.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Решение апелляционной комиссии доводится до сведения подавшего апелляцию выпускника в течение трех рабочих дней со дня заседания апелляционной комиссии.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Решение апелляционной комиссии является окончательным и пересмотру не подлежит.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Решение апелляционной комиссии оформляется протоколом, который подписывается председателем (заместителем председателя) и секретарем апелляционной комиссии и хранится в архиве образовательной организации.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5.2 Порядок пересдачи Государственной итоговой аттестации</w:t>
      </w:r>
      <w:r>
        <w:rPr>
          <w:b/>
          <w:bCs/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случае досрочного завершения ГИА выпускником по н</w:t>
      </w:r>
      <w:r>
        <w:rPr>
          <w:sz w:val="24"/>
          <w:szCs w:val="24"/>
        </w:rPr>
        <w:t xml:space="preserve">езависящим от него причинам результаты ГИА оцениваются по фактически выполненной работе, или по заявлению такого выпускника ГЭК принимается решение об аннулировании результатов ГИА, а такой выпускник признается ГЭК не прошедшим ГИА по уважительной причине.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Выпускникам, не прошедшим ГИА по уважительной причине, в том числе не явившимся по уважительной причине для прохождения одного из аттестационных ис</w:t>
      </w:r>
      <w:r>
        <w:rPr>
          <w:sz w:val="24"/>
          <w:szCs w:val="24"/>
        </w:rPr>
        <w:t xml:space="preserve">пытаний, предусмотренных формой ГИА (далее - выпускники, не прошедшие ГИА по уважительной причине), предоставляется возможность пройти ГИА, в том числе не пройденное аттестационное испытание (при его наличии), без отчисления из образовательной организации.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Дополнительные заседания ГЭК организуются в установленные образовательной организацией сроки, но не позднее четырех месяцев после подачи заявления выпускником, не прошедшим ГИА по уважительной причине.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Выпускники, не прошедшие ГИА по неуважительной причине, в том числе не явившиеся для прохождени</w:t>
      </w:r>
      <w:r>
        <w:rPr>
          <w:sz w:val="24"/>
          <w:szCs w:val="24"/>
        </w:rPr>
        <w:t xml:space="preserve">я ГИА без уважительных причин (далее - выпускники, не прошедшие ГИА по неуважительной причине) и выпускники, получившие на ГИА неудовлетворительные результаты, могут быть допущены образовательной организацией для повторного участия в ГИА не более двух раз.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Выпускники, не прошедшие ГИА по неуважительной причине, и выпускники, получившие на ГИА неудовлетворительные результаты, отчисляются из образовательной организации и проходят ГИА не ранее чем через шесть месяцев после прохождения ГИА </w:t>
      </w:r>
      <w:r>
        <w:rPr>
          <w:sz w:val="24"/>
          <w:szCs w:val="24"/>
        </w:rPr>
        <w:t xml:space="preserve">впервые.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Для прохождения ГИА выпускники, не прошедшие ГИА по неуважительной причине, и выпускники, получившие на ГИА неудовлетворительные результаты, восстанавливаются в образоват</w:t>
      </w:r>
      <w:r>
        <w:rPr>
          <w:sz w:val="24"/>
          <w:szCs w:val="24"/>
        </w:rPr>
        <w:t xml:space="preserve">ельной организации на период времени, установленный образовательной организацией самостоятельно, но не менее предусмотренного календарным учебным графиком для прохождения ГИА соответствующей образовательной программы среднего профессионального образования.</w:t>
      </w:r>
      <w:r>
        <w:rPr>
          <w:sz w:val="24"/>
          <w:szCs w:val="24"/>
        </w:rPr>
      </w:r>
    </w:p>
    <w:p>
      <w:pPr>
        <w:widowControl w:val="true"/>
        <w:pBdr/>
        <w:spacing w:after="160" w:line="259" w:lineRule="auto"/>
        <w:ind/>
        <w:rPr/>
      </w:pPr>
      <w:r/>
      <w:r/>
    </w:p>
    <w:p>
      <w:pPr>
        <w:pStyle w:val="695"/>
        <w:pBdr/>
        <w:spacing/>
        <w:ind w:firstLine="709"/>
        <w:jc w:val="right"/>
        <w:rPr/>
      </w:pPr>
      <w:r>
        <w:br w:type="page" w:clear="all"/>
      </w:r>
      <w:r>
        <w:t xml:space="preserve">Приложение 1</w:t>
      </w:r>
      <w:r/>
    </w:p>
    <w:p>
      <w:pPr>
        <w:pBdr/>
        <w:spacing w:line="360" w:lineRule="auto"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Примерная тематика выпускных квалификационных работ</w:t>
      </w:r>
      <w:r>
        <w:rPr>
          <w:b/>
          <w:sz w:val="24"/>
          <w:szCs w:val="24"/>
        </w:rPr>
      </w:r>
    </w:p>
    <w:p>
      <w:pPr>
        <w:pBdr/>
        <w:spacing w:line="360" w:lineRule="auto"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1. Разработка устройств сопряжения с ПК.</w:t>
      </w:r>
      <w:r>
        <w:rPr>
          <w:sz w:val="24"/>
          <w:szCs w:val="24"/>
        </w:rPr>
      </w:r>
    </w:p>
    <w:p>
      <w:pPr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2. Разработка исполнительных устройств, управляемых от ПК. </w:t>
      </w:r>
      <w:r>
        <w:rPr>
          <w:sz w:val="24"/>
          <w:szCs w:val="24"/>
        </w:rPr>
      </w:r>
    </w:p>
    <w:p>
      <w:pPr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bookmarkStart w:id="2" w:name="_GoBack"/>
      <w:r/>
      <w:bookmarkEnd w:id="2"/>
      <w:r>
        <w:rPr>
          <w:sz w:val="24"/>
          <w:szCs w:val="24"/>
        </w:rPr>
        <w:t xml:space="preserve">Разработка стендов</w:t>
      </w:r>
      <w:r>
        <w:rPr>
          <w:sz w:val="24"/>
          <w:szCs w:val="24"/>
        </w:rPr>
        <w:t xml:space="preserve">  для проведения лабораторных работ.</w:t>
      </w:r>
      <w:r>
        <w:rPr>
          <w:sz w:val="24"/>
          <w:szCs w:val="24"/>
        </w:rPr>
      </w:r>
    </w:p>
    <w:p>
      <w:pPr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4. Разработка методического обеспечения и постановка лабораторных работ.</w:t>
      </w:r>
      <w:r>
        <w:rPr>
          <w:sz w:val="24"/>
          <w:szCs w:val="24"/>
        </w:rPr>
      </w:r>
    </w:p>
    <w:p>
      <w:pPr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5. Разработка автоматизированного рабочего </w:t>
      </w:r>
      <w:r>
        <w:rPr>
          <w:sz w:val="24"/>
          <w:szCs w:val="24"/>
        </w:rPr>
        <w:t xml:space="preserve">места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</w:p>
    <w:p>
      <w:pPr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6. Системное моделирование.</w:t>
      </w:r>
      <w:r>
        <w:rPr>
          <w:sz w:val="24"/>
          <w:szCs w:val="24"/>
        </w:rPr>
      </w:r>
    </w:p>
    <w:p>
      <w:pPr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7. Разработка информационных систем.</w:t>
      </w:r>
      <w:r>
        <w:rPr>
          <w:sz w:val="24"/>
          <w:szCs w:val="24"/>
        </w:rPr>
      </w:r>
    </w:p>
    <w:p>
      <w:pPr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8. Автоматизация </w:t>
      </w:r>
      <w:r>
        <w:rPr>
          <w:sz w:val="24"/>
          <w:szCs w:val="24"/>
        </w:rPr>
        <w:t xml:space="preserve">производственных процессов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</w:p>
    <w:p>
      <w:pPr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9. Разработка устройств с использованием программно-аппаратной платформы Ардуино.</w:t>
      </w:r>
      <w:r>
        <w:rPr>
          <w:sz w:val="24"/>
          <w:szCs w:val="24"/>
        </w:rPr>
      </w:r>
    </w:p>
    <w:p>
      <w:pPr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1</w:t>
      </w:r>
      <w:r>
        <w:rPr>
          <w:sz w:val="24"/>
          <w:szCs w:val="24"/>
        </w:rPr>
        <w:t xml:space="preserve">0</w:t>
      </w:r>
      <w:r>
        <w:rPr>
          <w:sz w:val="24"/>
          <w:szCs w:val="24"/>
        </w:rPr>
        <w:t xml:space="preserve">. Разработка базы данных учета товарно-материальных запасов предприятия.</w:t>
      </w:r>
      <w:r>
        <w:rPr>
          <w:sz w:val="24"/>
          <w:szCs w:val="24"/>
        </w:rPr>
      </w:r>
    </w:p>
    <w:p>
      <w:pPr>
        <w:pStyle w:val="695"/>
        <w:pBdr/>
        <w:spacing/>
        <w:ind w:firstLine="709"/>
        <w:jc w:val="both"/>
        <w:rPr/>
      </w:pPr>
      <w:r/>
      <w:r/>
    </w:p>
    <w:sectPr>
      <w:footerReference w:type="default" r:id="rId9"/>
      <w:footnotePr/>
      <w:endnotePr/>
      <w:type w:val="nextPage"/>
      <w:pgSz w:h="16838" w:orient="portrait" w:w="11906"/>
      <w:pgMar w:top="1134" w:right="850" w:bottom="1134" w:left="1701" w:header="708" w:footer="708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Calibri">
    <w:panose1 w:val="020F0502020204030204"/>
  </w:font>
  <w:font w:name="Tahoma">
    <w:panose1 w:val="020B0604030504040204"/>
  </w:font>
  <w:font w:name="MS Mincho">
    <w:panose1 w:val="020206030504050903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29699790"/>
      <w:docPartObj>
        <w:docPartGallery w:val="Page Numbers (Bottom of Page)"/>
        <w:docPartUnique w:val="true"/>
      </w:docPartObj>
      <w:rPr/>
    </w:sdtPr>
    <w:sdtContent>
      <w:p>
        <w:pPr>
          <w:pStyle w:val="700"/>
          <w:pBdr/>
          <w:spacing/>
          <w:ind/>
          <w:jc w:val="right"/>
          <w:rPr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14</w:t>
        </w:r>
        <w:r>
          <w:fldChar w:fldCharType="end"/>
        </w:r>
        <w:r/>
      </w:p>
    </w:sdtContent>
  </w:sdt>
  <w:p>
    <w:pPr>
      <w:pStyle w:val="700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"/>
      <w:numFmt w:val="bullet"/>
      <w:pPr>
        <w:pBdr/>
        <w:spacing/>
        <w:ind w:hanging="360" w:left="928"/>
      </w:pPr>
      <w:rPr>
        <w:rFonts w:hint="default" w:ascii="Symbol" w:hAnsi="Symbol"/>
        <w:color w:val="auto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2">
    <w:name w:val="Table Grid Light"/>
    <w:basedOn w:val="69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Plain Table 1"/>
    <w:basedOn w:val="69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2"/>
    <w:basedOn w:val="69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3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4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5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Grid Table 1 Light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 - Accent 1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2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3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4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5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6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2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 - Accent 1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2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3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4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5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6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3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 - Accent 1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2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3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4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5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6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4"/>
    <w:basedOn w:val="69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 - Accent 1"/>
    <w:basedOn w:val="69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2"/>
    <w:basedOn w:val="69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3"/>
    <w:basedOn w:val="69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4"/>
    <w:basedOn w:val="69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5"/>
    <w:basedOn w:val="69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6"/>
    <w:basedOn w:val="69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5 Dark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- Accent 1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 - Accent 2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3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- Accent 4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 - Accent 5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6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6 Colorful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 - Accent 1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2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3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4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5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6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7 Colorful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 - Accent 1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2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3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4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5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6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List Table 1 Light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 - Accent 1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2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3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4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5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6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2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 - Accent 1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2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3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4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5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6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3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 - Accent 1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2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3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4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5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6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4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 - Accent 1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2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3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4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5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6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5 Dark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 - Accent 1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2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3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4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5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6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6 Colorful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 - Accent 1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2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3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4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5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6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7 Colorful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 - Accent 1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2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3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4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5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6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ned - Accent"/>
    <w:basedOn w:val="69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 1"/>
    <w:basedOn w:val="69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2"/>
    <w:basedOn w:val="69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3"/>
    <w:basedOn w:val="69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4"/>
    <w:basedOn w:val="69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5"/>
    <w:basedOn w:val="69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6"/>
    <w:basedOn w:val="69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Bordered &amp; Lined - Accent"/>
    <w:basedOn w:val="69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 1"/>
    <w:basedOn w:val="69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2"/>
    <w:basedOn w:val="69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3"/>
    <w:basedOn w:val="69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4"/>
    <w:basedOn w:val="69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5"/>
    <w:basedOn w:val="69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6"/>
    <w:basedOn w:val="69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 - Accent 1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2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3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4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5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6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8">
    <w:name w:val="Heading 1"/>
    <w:basedOn w:val="691"/>
    <w:next w:val="691"/>
    <w:link w:val="149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39">
    <w:name w:val="Heading 2"/>
    <w:basedOn w:val="691"/>
    <w:next w:val="691"/>
    <w:link w:val="150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0">
    <w:name w:val="Heading 3"/>
    <w:basedOn w:val="691"/>
    <w:next w:val="691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1">
    <w:name w:val="Heading 4"/>
    <w:basedOn w:val="691"/>
    <w:next w:val="691"/>
    <w:link w:val="152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2">
    <w:name w:val="Heading 5"/>
    <w:basedOn w:val="691"/>
    <w:next w:val="691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3">
    <w:name w:val="Heading 6"/>
    <w:basedOn w:val="691"/>
    <w:next w:val="691"/>
    <w:link w:val="154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4">
    <w:name w:val="Heading 7"/>
    <w:basedOn w:val="691"/>
    <w:next w:val="691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5">
    <w:name w:val="Heading 8"/>
    <w:basedOn w:val="691"/>
    <w:next w:val="691"/>
    <w:link w:val="156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6">
    <w:name w:val="Heading 9"/>
    <w:basedOn w:val="691"/>
    <w:next w:val="691"/>
    <w:link w:val="157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49">
    <w:name w:val="Heading 1 Char"/>
    <w:basedOn w:val="692"/>
    <w:link w:val="13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0">
    <w:name w:val="Heading 2 Char"/>
    <w:basedOn w:val="692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1">
    <w:name w:val="Heading 3 Char"/>
    <w:basedOn w:val="692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2">
    <w:name w:val="Heading 4 Char"/>
    <w:basedOn w:val="692"/>
    <w:link w:val="141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3">
    <w:name w:val="Heading 5 Char"/>
    <w:basedOn w:val="692"/>
    <w:link w:val="14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4">
    <w:name w:val="Heading 6 Char"/>
    <w:basedOn w:val="692"/>
    <w:link w:val="143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5">
    <w:name w:val="Heading 7 Char"/>
    <w:basedOn w:val="692"/>
    <w:link w:val="144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6">
    <w:name w:val="Heading 8 Char"/>
    <w:basedOn w:val="692"/>
    <w:link w:val="14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7">
    <w:name w:val="Heading 9 Char"/>
    <w:basedOn w:val="692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8">
    <w:name w:val="Title"/>
    <w:basedOn w:val="691"/>
    <w:next w:val="691"/>
    <w:link w:val="159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59">
    <w:name w:val="Title Char"/>
    <w:basedOn w:val="692"/>
    <w:link w:val="158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0">
    <w:name w:val="Subtitle"/>
    <w:basedOn w:val="691"/>
    <w:next w:val="691"/>
    <w:link w:val="161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1">
    <w:name w:val="Subtitle Char"/>
    <w:basedOn w:val="692"/>
    <w:link w:val="160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2">
    <w:name w:val="Quote"/>
    <w:basedOn w:val="691"/>
    <w:next w:val="691"/>
    <w:link w:val="163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3">
    <w:name w:val="Quote Char"/>
    <w:basedOn w:val="692"/>
    <w:link w:val="162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5">
    <w:name w:val="Intense Emphasis"/>
    <w:basedOn w:val="692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6">
    <w:name w:val="Intense Quote"/>
    <w:basedOn w:val="691"/>
    <w:next w:val="691"/>
    <w:link w:val="167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7">
    <w:name w:val="Intense Quote Char"/>
    <w:basedOn w:val="692"/>
    <w:link w:val="166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8">
    <w:name w:val="Intense Reference"/>
    <w:basedOn w:val="692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170">
    <w:name w:val="Subtle Emphasis"/>
    <w:basedOn w:val="692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1">
    <w:name w:val="Emphasis"/>
    <w:basedOn w:val="692"/>
    <w:uiPriority w:val="20"/>
    <w:qFormat/>
    <w:pPr>
      <w:pBdr/>
      <w:spacing/>
      <w:ind/>
    </w:pPr>
    <w:rPr>
      <w:i/>
      <w:iCs/>
    </w:rPr>
  </w:style>
  <w:style w:type="character" w:styleId="172">
    <w:name w:val="Strong"/>
    <w:basedOn w:val="692"/>
    <w:uiPriority w:val="22"/>
    <w:qFormat/>
    <w:pPr>
      <w:pBdr/>
      <w:spacing/>
      <w:ind/>
    </w:pPr>
    <w:rPr>
      <w:b/>
      <w:bCs/>
    </w:rPr>
  </w:style>
  <w:style w:type="character" w:styleId="173">
    <w:name w:val="Subtle Reference"/>
    <w:basedOn w:val="692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4">
    <w:name w:val="Book Title"/>
    <w:basedOn w:val="692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176">
    <w:name w:val="Header Char"/>
    <w:basedOn w:val="692"/>
    <w:link w:val="698"/>
    <w:uiPriority w:val="99"/>
    <w:pPr>
      <w:pBdr/>
      <w:spacing/>
      <w:ind/>
    </w:pPr>
  </w:style>
  <w:style w:type="character" w:styleId="178">
    <w:name w:val="Footer Char"/>
    <w:basedOn w:val="692"/>
    <w:link w:val="700"/>
    <w:uiPriority w:val="99"/>
    <w:pPr>
      <w:pBdr/>
      <w:spacing/>
      <w:ind/>
    </w:pPr>
  </w:style>
  <w:style w:type="paragraph" w:styleId="179">
    <w:name w:val="Caption"/>
    <w:basedOn w:val="691"/>
    <w:next w:val="691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0">
    <w:name w:val="footnote text"/>
    <w:basedOn w:val="691"/>
    <w:link w:val="181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1">
    <w:name w:val="Footnote Text Char"/>
    <w:basedOn w:val="692"/>
    <w:link w:val="180"/>
    <w:uiPriority w:val="99"/>
    <w:semiHidden/>
    <w:pPr>
      <w:pBdr/>
      <w:spacing/>
      <w:ind/>
    </w:pPr>
    <w:rPr>
      <w:sz w:val="20"/>
      <w:szCs w:val="20"/>
    </w:rPr>
  </w:style>
  <w:style w:type="character" w:styleId="182">
    <w:name w:val="footnote reference"/>
    <w:basedOn w:val="692"/>
    <w:uiPriority w:val="99"/>
    <w:semiHidden/>
    <w:unhideWhenUsed/>
    <w:pPr>
      <w:pBdr/>
      <w:spacing/>
      <w:ind/>
    </w:pPr>
    <w:rPr>
      <w:vertAlign w:val="superscript"/>
    </w:rPr>
  </w:style>
  <w:style w:type="paragraph" w:styleId="183">
    <w:name w:val="endnote text"/>
    <w:basedOn w:val="691"/>
    <w:link w:val="184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4">
    <w:name w:val="Endnote Text Char"/>
    <w:basedOn w:val="692"/>
    <w:link w:val="183"/>
    <w:uiPriority w:val="99"/>
    <w:semiHidden/>
    <w:pPr>
      <w:pBdr/>
      <w:spacing/>
      <w:ind/>
    </w:pPr>
    <w:rPr>
      <w:sz w:val="20"/>
      <w:szCs w:val="20"/>
    </w:rPr>
  </w:style>
  <w:style w:type="character" w:styleId="185">
    <w:name w:val="endnote reference"/>
    <w:basedOn w:val="692"/>
    <w:uiPriority w:val="99"/>
    <w:semiHidden/>
    <w:unhideWhenUsed/>
    <w:pPr>
      <w:pBdr/>
      <w:spacing/>
      <w:ind/>
    </w:pPr>
    <w:rPr>
      <w:vertAlign w:val="superscript"/>
    </w:rPr>
  </w:style>
  <w:style w:type="character" w:styleId="186">
    <w:name w:val="Hyperlink"/>
    <w:basedOn w:val="692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7">
    <w:name w:val="FollowedHyperlink"/>
    <w:basedOn w:val="692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97">
    <w:name w:val="TOC Heading"/>
    <w:uiPriority w:val="39"/>
    <w:unhideWhenUsed/>
    <w:pPr>
      <w:pBdr/>
      <w:spacing/>
      <w:ind/>
    </w:pPr>
  </w:style>
  <w:style w:type="paragraph" w:styleId="198">
    <w:name w:val="table of figures"/>
    <w:basedOn w:val="691"/>
    <w:next w:val="691"/>
    <w:uiPriority w:val="99"/>
    <w:unhideWhenUsed/>
    <w:pPr>
      <w:pBdr/>
      <w:spacing w:after="0" w:afterAutospacing="0"/>
      <w:ind/>
    </w:pPr>
  </w:style>
  <w:style w:type="paragraph" w:styleId="691" w:default="1">
    <w:name w:val="Normal"/>
    <w:qFormat/>
    <w:pPr>
      <w:widowControl w:val="false"/>
      <w:pBdr/>
      <w:spacing w:after="0" w:line="240" w:lineRule="auto"/>
      <w:ind/>
    </w:pPr>
    <w:rPr>
      <w:rFonts w:ascii="Times New Roman" w:hAnsi="Times New Roman" w:eastAsia="MS Mincho" w:cs="Times New Roman"/>
      <w:sz w:val="20"/>
      <w:szCs w:val="20"/>
      <w:lang w:eastAsia="ru-RU"/>
    </w:rPr>
  </w:style>
  <w:style w:type="character" w:styleId="692" w:default="1">
    <w:name w:val="Default Paragraph Font"/>
    <w:uiPriority w:val="1"/>
    <w:semiHidden/>
    <w:unhideWhenUsed/>
    <w:pPr>
      <w:pBdr/>
      <w:spacing/>
      <w:ind/>
    </w:pPr>
  </w:style>
  <w:style w:type="table" w:styleId="693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94" w:default="1">
    <w:name w:val="No List"/>
    <w:uiPriority w:val="99"/>
    <w:semiHidden/>
    <w:unhideWhenUsed/>
    <w:pPr>
      <w:pBdr/>
      <w:spacing/>
      <w:ind/>
    </w:pPr>
  </w:style>
  <w:style w:type="paragraph" w:styleId="695" w:customStyle="1">
    <w:name w:val="Рабочий"/>
    <w:basedOn w:val="691"/>
    <w:qFormat/>
    <w:pPr>
      <w:pBdr/>
      <w:spacing/>
      <w:ind/>
    </w:pPr>
    <w:rPr>
      <w:sz w:val="24"/>
      <w:szCs w:val="24"/>
    </w:rPr>
  </w:style>
  <w:style w:type="paragraph" w:styleId="696" w:customStyle="1">
    <w:name w:val="Style"/>
    <w:pPr>
      <w:widowControl w:val="false"/>
      <w:pBdr/>
      <w:spacing w:after="0" w:line="240" w:lineRule="auto"/>
      <w:ind/>
    </w:pPr>
    <w:rPr>
      <w:rFonts w:ascii="Times New Roman" w:hAnsi="Times New Roman" w:eastAsia="MS Mincho" w:cs="Times New Roman"/>
      <w:sz w:val="24"/>
      <w:szCs w:val="24"/>
      <w:lang w:eastAsia="zh-CN"/>
    </w:rPr>
  </w:style>
  <w:style w:type="table" w:styleId="697">
    <w:name w:val="Table Grid"/>
    <w:basedOn w:val="693"/>
    <w:uiPriority w:val="59"/>
    <w:pPr>
      <w:pBdr/>
      <w:spacing w:after="0" w:line="240" w:lineRule="auto"/>
      <w:ind/>
    </w:pPr>
    <w:rPr>
      <w:rFonts w:ascii="Calibri" w:hAnsi="Calibri" w:eastAsia="Calibri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698">
    <w:name w:val="Header"/>
    <w:basedOn w:val="691"/>
    <w:link w:val="699"/>
    <w:uiPriority w:val="99"/>
    <w:unhideWhenUsed/>
    <w:pPr>
      <w:pBdr/>
      <w:tabs>
        <w:tab w:val="center" w:leader="none" w:pos="4677"/>
        <w:tab w:val="right" w:leader="none" w:pos="9355"/>
      </w:tabs>
      <w:spacing/>
      <w:ind/>
    </w:pPr>
  </w:style>
  <w:style w:type="character" w:styleId="699" w:customStyle="1">
    <w:name w:val="Верхний колонтитул Знак"/>
    <w:basedOn w:val="692"/>
    <w:link w:val="698"/>
    <w:uiPriority w:val="99"/>
    <w:pPr>
      <w:pBdr/>
      <w:spacing/>
      <w:ind/>
    </w:pPr>
    <w:rPr>
      <w:rFonts w:ascii="Times New Roman" w:hAnsi="Times New Roman" w:eastAsia="MS Mincho" w:cs="Times New Roman"/>
      <w:sz w:val="20"/>
      <w:szCs w:val="20"/>
      <w:lang w:eastAsia="ru-RU"/>
    </w:rPr>
  </w:style>
  <w:style w:type="paragraph" w:styleId="700">
    <w:name w:val="Footer"/>
    <w:basedOn w:val="691"/>
    <w:link w:val="701"/>
    <w:uiPriority w:val="99"/>
    <w:unhideWhenUsed/>
    <w:pPr>
      <w:pBdr/>
      <w:tabs>
        <w:tab w:val="center" w:leader="none" w:pos="4677"/>
        <w:tab w:val="right" w:leader="none" w:pos="9355"/>
      </w:tabs>
      <w:spacing/>
      <w:ind/>
    </w:pPr>
  </w:style>
  <w:style w:type="character" w:styleId="701" w:customStyle="1">
    <w:name w:val="Нижний колонтитул Знак"/>
    <w:basedOn w:val="692"/>
    <w:link w:val="700"/>
    <w:uiPriority w:val="99"/>
    <w:pPr>
      <w:pBdr/>
      <w:spacing/>
      <w:ind/>
    </w:pPr>
    <w:rPr>
      <w:rFonts w:ascii="Times New Roman" w:hAnsi="Times New Roman" w:eastAsia="MS Mincho" w:cs="Times New Roman"/>
      <w:sz w:val="20"/>
      <w:szCs w:val="20"/>
      <w:lang w:eastAsia="ru-RU"/>
    </w:rPr>
  </w:style>
  <w:style w:type="paragraph" w:styleId="702">
    <w:name w:val="Balloon Text"/>
    <w:basedOn w:val="691"/>
    <w:link w:val="703"/>
    <w:uiPriority w:val="99"/>
    <w:semiHidden/>
    <w:unhideWhenUsed/>
    <w:pPr>
      <w:pBdr/>
      <w:spacing/>
      <w:ind/>
    </w:pPr>
    <w:rPr>
      <w:rFonts w:ascii="Tahoma" w:hAnsi="Tahoma" w:cs="Tahoma"/>
      <w:sz w:val="16"/>
      <w:szCs w:val="16"/>
    </w:rPr>
  </w:style>
  <w:style w:type="character" w:styleId="703" w:customStyle="1">
    <w:name w:val="Текст выноски Знак"/>
    <w:basedOn w:val="692"/>
    <w:link w:val="702"/>
    <w:uiPriority w:val="99"/>
    <w:semiHidden/>
    <w:pPr>
      <w:pBdr/>
      <w:spacing/>
      <w:ind/>
    </w:pPr>
    <w:rPr>
      <w:rFonts w:ascii="Tahoma" w:hAnsi="Tahoma" w:eastAsia="MS Mincho" w:cs="Tahoma"/>
      <w:sz w:val="16"/>
      <w:szCs w:val="16"/>
      <w:lang w:eastAsia="ru-RU"/>
    </w:rPr>
  </w:style>
  <w:style w:type="paragraph" w:styleId="704">
    <w:name w:val="No Spacing"/>
    <w:uiPriority w:val="1"/>
    <w:qFormat/>
    <w:pPr>
      <w:pBdr/>
      <w:spacing w:after="0" w:line="240" w:lineRule="auto"/>
      <w:ind/>
    </w:pPr>
    <w:rPr>
      <w:rFonts w:ascii="Calibri" w:hAnsi="Calibri" w:eastAsia="Times New Roman" w:cs="Times New Roman"/>
      <w:lang w:eastAsia="ru-RU"/>
    </w:rPr>
  </w:style>
  <w:style w:type="paragraph" w:styleId="705">
    <w:name w:val="List Paragraph"/>
    <w:basedOn w:val="691"/>
    <w:uiPriority w:val="34"/>
    <w:qFormat/>
    <w:pPr>
      <w:pBdr/>
      <w:spacing/>
      <w:ind w:left="720"/>
      <w:contextualSpacing w:val="true"/>
    </w:pPr>
  </w:style>
  <w:style w:type="table" w:styleId="706" w:customStyle="1">
    <w:name w:val="Сетка таблицы1"/>
    <w:basedOn w:val="693"/>
    <w:next w:val="697"/>
    <w:pPr>
      <w:pBdr/>
      <w:spacing w:after="0" w:line="240" w:lineRule="auto"/>
      <w:ind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ONLYOFFICE/8.1.3.3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Хакимова Галия Габдрахмановна</cp:lastModifiedBy>
  <cp:revision>60</cp:revision>
  <dcterms:created xsi:type="dcterms:W3CDTF">2019-10-28T07:24:00Z</dcterms:created>
  <dcterms:modified xsi:type="dcterms:W3CDTF">2025-11-21T04:45:24Z</dcterms:modified>
</cp:coreProperties>
</file>