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76" w:before="0" w:after="200"/>
        <w:jc w:val="right"/>
        <w:rPr>
          <w:rFonts w:eastAsia="PMingLiU"/>
          <w:b/>
          <w:i/>
          <w:i/>
          <w:sz w:val="22"/>
          <w:szCs w:val="22"/>
        </w:rPr>
      </w:pPr>
      <w:r>
        <w:rPr>
          <w:rFonts w:eastAsia="PMingLiU"/>
          <w:b/>
          <w:i/>
          <w:sz w:val="22"/>
          <w:szCs w:val="22"/>
        </w:rPr>
        <w:t xml:space="preserve">Приложение </w:t>
      </w:r>
      <w:r>
        <w:rPr>
          <w:rFonts w:eastAsia="PMingLiU"/>
          <w:b/>
          <w:i/>
          <w:sz w:val="24"/>
          <w:szCs w:val="24"/>
          <w:lang w:val="en-US"/>
        </w:rPr>
        <w:t>II</w:t>
      </w:r>
      <w:r>
        <w:rPr>
          <w:rFonts w:eastAsia="PMingLiU"/>
          <w:b/>
          <w:i/>
          <w:sz w:val="24"/>
          <w:szCs w:val="24"/>
        </w:rPr>
        <w:t>.4</w:t>
      </w:r>
    </w:p>
    <w:p>
      <w:pPr>
        <w:pStyle w:val="Normal"/>
        <w:widowControl/>
        <w:jc w:val="right"/>
        <w:rPr>
          <w:rFonts w:eastAsia="Times New Roman"/>
          <w:b/>
          <w:i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09.02.07 «Информационные системы и программирование»</w:t>
      </w:r>
    </w:p>
    <w:p>
      <w:pPr>
        <w:pStyle w:val="Normal"/>
        <w:widowControl/>
        <w:ind w:firstLine="708"/>
        <w:jc w:val="right"/>
        <w:rPr>
          <w:rFonts w:eastAsia="Times New Roman"/>
          <w:i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</w:r>
    </w:p>
    <w:p>
      <w:pPr>
        <w:pStyle w:val="Normal"/>
        <w:shd w:val="clear" w:color="auto" w:fill="FFFFFF"/>
        <w:spacing w:before="523"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523"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523"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РАБОЧАЯ ПРОГРАММА</w:t>
      </w:r>
    </w:p>
    <w:p>
      <w:pPr>
        <w:pStyle w:val="Normal"/>
        <w:widowControl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ПРОФЕССИОНАЛЬНОГО МОДУЛЯ</w:t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ПМ.04 Сопровождение и обслуживание программного обеспечения компьютерных систем </w:t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>
      <w:pPr>
        <w:pStyle w:val="Normal"/>
        <w:shd w:val="clear" w:color="auto" w:fill="FFFFFF"/>
        <w:spacing w:before="120" w:after="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Составитель:</w:t>
      </w:r>
    </w:p>
    <w:p>
      <w:pPr>
        <w:pStyle w:val="Normal"/>
        <w:shd w:val="clear" w:color="auto" w:fill="FFFFFF"/>
        <w:spacing w:before="120" w:after="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Казанцев Андрей Валерьевич, преподаватель ГБПОУ УКРТБ</w:t>
      </w:r>
    </w:p>
    <w:p>
      <w:pPr>
        <w:pStyle w:val="Normal"/>
        <w:shd w:val="clear" w:color="auto" w:fill="FFFFFF"/>
        <w:spacing w:before="523" w:after="0"/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>
      <w:pPr>
        <w:pStyle w:val="Normal"/>
        <w:shd w:val="clear" w:color="auto" w:fill="FFFFFF"/>
        <w:spacing w:lineRule="auto" w:line="360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</w:r>
    </w:p>
    <w:tbl>
      <w:tblPr>
        <w:tblStyle w:val="11"/>
        <w:tblW w:w="1142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461"/>
        <w:gridCol w:w="959"/>
      </w:tblGrid>
      <w:tr>
        <w:trPr/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Rule="auto" w:line="360" w:before="0" w:after="0"/>
              <w:jc w:val="left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PMingLiU"/>
                <w:kern w:val="0"/>
                <w:sz w:val="28"/>
                <w:szCs w:val="28"/>
                <w:lang w:val="ru-RU" w:eastAsia="en-US" w:bidi="ar-SA"/>
              </w:rPr>
              <w:t>Общая характеристика рабочей программы профессионального модуля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360" w:leader="none"/>
                <w:tab w:val="left" w:pos="2510" w:leader="none"/>
                <w:tab w:val="left" w:pos="5208" w:leader="none"/>
              </w:tabs>
              <w:spacing w:lineRule="auto" w:line="360" w:before="0" w:after="0"/>
              <w:jc w:val="left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3"/>
                <w:kern w:val="0"/>
                <w:sz w:val="28"/>
                <w:szCs w:val="28"/>
                <w:lang w:val="ru-RU" w:eastAsia="en-US" w:bidi="ar-SA"/>
              </w:rPr>
              <w:t>Структура и содержание профессионального модуля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360" w:leader="none"/>
              </w:tabs>
              <w:spacing w:lineRule="auto" w:line="360" w:before="0" w:after="0"/>
              <w:jc w:val="left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1"/>
                <w:kern w:val="0"/>
                <w:sz w:val="28"/>
                <w:szCs w:val="28"/>
                <w:lang w:val="ru-RU" w:eastAsia="en-US" w:bidi="ar-SA"/>
              </w:rPr>
              <w:t>Условия реализация программы профессионального модуля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360" w:leader="none"/>
              </w:tabs>
              <w:spacing w:lineRule="auto" w:line="360" w:before="0" w:after="0"/>
              <w:jc w:val="left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360" w:leader="none"/>
              </w:tabs>
              <w:spacing w:lineRule="auto" w:line="360" w:before="0" w:after="0"/>
              <w:jc w:val="left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aps/>
                <w:color w:val="000000"/>
                <w:spacing w:val="-1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Times New Roman"/>
                <w:bCs/>
                <w:color w:val="000000"/>
                <w:spacing w:val="-1"/>
                <w:kern w:val="0"/>
                <w:sz w:val="28"/>
                <w:szCs w:val="28"/>
                <w:lang w:val="ru-RU" w:eastAsia="en-US" w:bidi="ar-SA"/>
              </w:rPr>
              <w:t>риложение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olor w:val="000000"/>
                <w:spacing w:val="-1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right"/>
        <w:rPr>
          <w:rFonts w:eastAsia="Times New Roman"/>
          <w:b/>
          <w:bCs/>
          <w:color w:val="FF0000"/>
          <w:spacing w:val="-1"/>
          <w:sz w:val="24"/>
          <w:szCs w:val="24"/>
        </w:rPr>
      </w:pPr>
      <w:r>
        <w:rPr>
          <w:rFonts w:eastAsia="Times New Roman"/>
          <w:b/>
          <w:bCs/>
          <w:color w:val="FF0000"/>
          <w:spacing w:val="-1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8" w:right="567" w:gutter="0" w:header="0" w:top="1134" w:footer="72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lineRule="auto" w:line="360"/>
        <w:jc w:val="right"/>
        <w:rPr>
          <w:rFonts w:eastAsia="Times New Roman"/>
          <w:b/>
          <w:bCs/>
          <w:color w:val="FF0000"/>
          <w:spacing w:val="-1"/>
          <w:sz w:val="24"/>
          <w:szCs w:val="24"/>
        </w:rPr>
      </w:pPr>
      <w:r>
        <w:rPr>
          <w:rFonts w:eastAsia="Times New Roman"/>
          <w:b/>
          <w:bCs/>
          <w:color w:val="FF0000"/>
          <w:spacing w:val="-1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283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9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95"/>
      </w:tblGrid>
      <w:tr>
        <w:trPr/>
        <w:tc>
          <w:tcPr>
            <w:tcW w:w="9495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0" w:name="OLE_LINK8"/>
            <w:bookmarkStart w:id="1" w:name="OLE_LINK7"/>
            <w:bookmarkStart w:id="2" w:name="OLE_LINK4"/>
            <w:r>
              <w:rPr>
                <w:sz w:val="28"/>
                <w:szCs w:val="28"/>
              </w:rPr>
              <w:t>ПМ. 04. Сопровождение и обслуживание программного обеспечения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компьютерных систем</w:t>
            </w:r>
          </w:p>
        </w:tc>
      </w:tr>
    </w:tbl>
    <w:p>
      <w:pPr>
        <w:pStyle w:val="Normal"/>
        <w:jc w:val="center"/>
        <w:rPr>
          <w:i/>
          <w:i/>
        </w:rPr>
      </w:pPr>
      <w:bookmarkStart w:id="3" w:name="OLE_LINK8"/>
      <w:bookmarkStart w:id="4" w:name="OLE_LINK7"/>
      <w:bookmarkStart w:id="5" w:name="OLE_LINK4"/>
      <w:r>
        <w:rPr>
          <w:i/>
        </w:rPr>
        <w:t>наименование профессионального модуля</w:t>
      </w:r>
      <w:bookmarkEnd w:id="3"/>
      <w:bookmarkEnd w:id="4"/>
      <w:bookmarkEnd w:id="5"/>
    </w:p>
    <w:p>
      <w:pPr>
        <w:pStyle w:val="Normal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1.1.</w:t>
        <w:tab/>
      </w:r>
      <w:r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>
      <w:pPr>
        <w:pStyle w:val="Normal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>
        <w:rPr>
          <w:sz w:val="28"/>
          <w:szCs w:val="28"/>
        </w:rPr>
        <w:t>Сопровождение и обслуживание программного обеспечения компьютерных систем</w:t>
      </w:r>
      <w:r>
        <w:rPr>
          <w:rFonts w:eastAsia="PMingLiU"/>
          <w:sz w:val="28"/>
          <w:szCs w:val="28"/>
        </w:rPr>
        <w:t>» и соответствующие ему профессиональные компетенции и общие компетенции:</w:t>
      </w:r>
    </w:p>
    <w:p>
      <w:pPr>
        <w:pStyle w:val="Normal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общих компетенций</w:t>
      </w:r>
    </w:p>
    <w:tbl>
      <w:tblPr>
        <w:tblpPr w:vertAnchor="text" w:horzAnchor="margin" w:tblpXSpec="center" w:leftFromText="180" w:rightFromText="180" w:tblpY="91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28"/>
        <w:gridCol w:w="8342"/>
      </w:tblGrid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uppressAutoHyphens w:val="true"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1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1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Перечень профессиональных компетенций</w:t>
      </w:r>
    </w:p>
    <w:tbl>
      <w:tblPr>
        <w:tblpPr w:vertAnchor="text" w:horzAnchor="margin" w:tblpXSpec="center" w:leftFromText="180" w:rightFromText="180" w:tblpY="124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4"/>
        <w:gridCol w:w="8366"/>
      </w:tblGrid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4.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/>
                <w:i/>
                <w:i/>
                <w:sz w:val="24"/>
                <w:szCs w:val="24"/>
              </w:rPr>
            </w:pPr>
            <w:r>
              <w:rPr>
                <w:rFonts w:eastAsia="PMingLiU"/>
                <w:b/>
                <w:i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both"/>
              <w:rPr>
                <w:rFonts w:eastAsia="PMingLiU"/>
                <w:bCs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LineNumbers/>
              <w:suppressAutoHyphens w:val="true"/>
              <w:spacing w:before="0" w:after="0"/>
              <w:contextualSpacing/>
              <w:jc w:val="both"/>
              <w:outlineLvl w:val="1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PMingLiU"/>
                <w:bCs/>
                <w:iCs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>
      <w:pPr>
        <w:pStyle w:val="Normal"/>
        <w:widowControl/>
        <w:spacing w:lineRule="auto" w:line="276" w:before="0" w:after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Normal"/>
        <w:widowControl/>
        <w:spacing w:lineRule="auto" w:line="276" w:before="0" w:after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освоения профессионального модуля учитывается движение к достижению личностных результатов обучающимися ЛР 13,14,15,19.</w:t>
      </w:r>
    </w:p>
    <w:p>
      <w:pPr>
        <w:pStyle w:val="Normal"/>
        <w:widowControl/>
        <w:spacing w:lineRule="auto" w:line="276" w:before="0" w:after="20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Style w:val="411"/>
        <w:tblW w:w="992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63"/>
        <w:gridCol w:w="8060"/>
      </w:tblGrid>
      <w:tr>
        <w:trPr/>
        <w:tc>
          <w:tcPr>
            <w:tcW w:w="1863" w:type="dxa"/>
            <w:tcBorders/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Иметь практический опыт</w:t>
            </w:r>
          </w:p>
        </w:tc>
        <w:tc>
          <w:tcPr>
            <w:tcW w:w="8060" w:type="dxa"/>
            <w:tcBorders/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В настройке отдельных компонентов программного обеспечения компьютерных систем; в выполнении отдельных видов работ на этапе поддержки программного обеспечения компьютерной системы.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"/>
                <w:i/>
                <w:color w:val="auto"/>
                <w:kern w:val="0"/>
                <w:lang w:val="ru-RU" w:eastAsia="en-US" w:bidi="ar-SA"/>
              </w:rPr>
              <w:t xml:space="preserve">Выполнять установку серверной части компьютерных систем; </w:t>
            </w:r>
            <w:r>
              <w:rPr>
                <w:rFonts w:eastAsia=""/>
                <w:bCs/>
                <w:i/>
                <w:color w:val="auto"/>
                <w:kern w:val="0"/>
                <w:lang w:val="ru-RU" w:eastAsia="en-US" w:bidi="ar-SA"/>
              </w:rPr>
              <w:t xml:space="preserve">выполнять настройку конфигурации браузера; </w:t>
            </w:r>
            <w:r>
              <w:rPr>
                <w:rFonts w:eastAsia=""/>
                <w:i/>
                <w:color w:val="auto"/>
                <w:kern w:val="0"/>
                <w:lang w:val="ru-RU" w:eastAsia="en-US" w:bidi="ar-SA"/>
              </w:rPr>
              <w:t>обеспечивать стабильную работу компьютерных систем при восстановлении данных или системы.</w:t>
            </w:r>
          </w:p>
        </w:tc>
      </w:tr>
      <w:tr>
        <w:trPr/>
        <w:tc>
          <w:tcPr>
            <w:tcW w:w="1863" w:type="dxa"/>
            <w:tcBorders/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уметь</w:t>
            </w:r>
          </w:p>
        </w:tc>
        <w:tc>
          <w:tcPr>
            <w:tcW w:w="8060" w:type="dxa"/>
            <w:tcBorders/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обеспечения.</w:t>
            </w:r>
          </w:p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>Производить установку и настройку серверной части компьютерных систем; подбирать и настраивать конфигурацию браузера; производить настройку реестра; использовать программы восстановления данных и очистки дисков.</w:t>
            </w:r>
          </w:p>
        </w:tc>
      </w:tr>
      <w:tr>
        <w:trPr/>
        <w:tc>
          <w:tcPr>
            <w:tcW w:w="1863" w:type="dxa"/>
            <w:tcBorders/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знать</w:t>
            </w:r>
          </w:p>
        </w:tc>
        <w:tc>
          <w:tcPr>
            <w:tcW w:w="8060" w:type="dxa"/>
            <w:tcBorders/>
          </w:tcPr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bidi="ar-SA"/>
              </w:rPr>
              <w:t>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системах.</w:t>
            </w:r>
          </w:p>
          <w:p>
            <w:pPr>
              <w:pStyle w:val="Normal"/>
              <w:keepNext w:val="true"/>
              <w:keepLines/>
              <w:suppressLineNumbers/>
              <w:suppressAutoHyphens w:val="true"/>
              <w:spacing w:before="0" w:after="0"/>
              <w:contextualSpacing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val="ru-RU" w:bidi="ar-SA"/>
              </w:rPr>
              <w:t xml:space="preserve">Виды серверного программного обеспечения; </w:t>
            </w:r>
            <w:r>
              <w:rPr>
                <w:rFonts w:eastAsia="PMingLiU"/>
                <w:bCs/>
                <w:i/>
                <w:kern w:val="0"/>
                <w:sz w:val="24"/>
                <w:szCs w:val="24"/>
                <w:lang w:val="ru-RU" w:bidi="ar-SA"/>
              </w:rPr>
              <w:t xml:space="preserve">Аппаратно-программные платформы серверов и рабочих станций; </w:t>
            </w:r>
            <w:r>
              <w:rPr>
                <w:bCs/>
                <w:i/>
                <w:kern w:val="0"/>
                <w:sz w:val="24"/>
                <w:szCs w:val="24"/>
                <w:lang w:val="ru-RU" w:bidi="ar-SA"/>
              </w:rPr>
              <w:t xml:space="preserve">Основные настройки браузеров; Виды браузеров; </w:t>
            </w:r>
            <w:r>
              <w:rPr>
                <w:i/>
                <w:kern w:val="0"/>
                <w:sz w:val="24"/>
                <w:szCs w:val="24"/>
                <w:lang w:val="ru-RU" w:bidi="ar-SA"/>
              </w:rPr>
              <w:t>Особенности работы с реестром; Виды программного обеспечения для восстановления данных и очистки дисков.</w:t>
            </w:r>
          </w:p>
        </w:tc>
      </w:tr>
    </w:tbl>
    <w:p>
      <w:pPr>
        <w:pStyle w:val="Normal"/>
        <w:keepNext w:val="true"/>
        <w:keepLines/>
        <w:widowControl/>
        <w:suppressLineNumbers/>
        <w:suppressAutoHyphens w:val="true"/>
        <w:snapToGrid w:val="false"/>
        <w:spacing w:lineRule="auto" w:line="276" w:before="120" w:after="12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keepNext w:val="true"/>
        <w:keepLines/>
        <w:widowControl/>
        <w:suppressLineNumbers/>
        <w:suppressAutoHyphens w:val="true"/>
        <w:snapToGrid w:val="false"/>
        <w:spacing w:lineRule="auto" w:line="276" w:before="120" w:after="120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t xml:space="preserve">1.2. </w:t>
      </w:r>
      <w:r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Всего часов – 364 часа, </w:t>
      </w:r>
      <w:r>
        <w:rPr>
          <w:sz w:val="28"/>
          <w:szCs w:val="28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70 часов вариативной части, направленных на усиление обязательной части программы профессионального модуля.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sectPr>
          <w:footerReference w:type="even" r:id="rId3"/>
          <w:footerReference w:type="default" r:id="rId4"/>
          <w:footerReference w:type="first" r:id="rId5"/>
          <w:type w:val="nextPage"/>
          <w:pgSz w:w="11906" w:h="16838"/>
          <w:pgMar w:left="993" w:right="707" w:gutter="0" w:header="0" w:top="851" w:footer="709" w:bottom="851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List2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>
      <w:pPr>
        <w:pStyle w:val="Normal"/>
        <w:jc w:val="both"/>
        <w:rPr>
          <w:b/>
        </w:rPr>
      </w:pPr>
      <w:r>
        <w:rPr>
          <w:b/>
          <w:sz w:val="28"/>
          <w:szCs w:val="28"/>
        </w:rPr>
        <w:t xml:space="preserve">2.1. Структура профессионального модуля </w:t>
      </w:r>
    </w:p>
    <w:tbl>
      <w:tblPr>
        <w:tblW w:w="5000" w:type="pct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26"/>
        <w:gridCol w:w="3835"/>
        <w:gridCol w:w="1097"/>
        <w:gridCol w:w="838"/>
        <w:gridCol w:w="1679"/>
        <w:gridCol w:w="1164"/>
        <w:gridCol w:w="1464"/>
        <w:gridCol w:w="1079"/>
        <w:gridCol w:w="1197"/>
        <w:gridCol w:w="1172"/>
      </w:tblGrid>
      <w:tr>
        <w:trPr>
          <w:trHeight w:val="435" w:hRule="atLeast"/>
        </w:trPr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>
              <w:rPr>
                <w:rStyle w:val="FootnoteReference"/>
                <w:b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>
        <w:trPr>
          <w:trHeight w:val="435" w:hRule="atLeast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2"/>
              <w:ind w:left="0" w:hanging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8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</w:r>
          </w:p>
        </w:tc>
        <w:tc>
          <w:tcPr>
            <w:tcW w:w="51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Обучение по МДК</w:t>
            </w:r>
          </w:p>
        </w:tc>
        <w:tc>
          <w:tcPr>
            <w:tcW w:w="2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i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List2"/>
              <w:ind w:left="113" w:right="113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  <w:p>
            <w:pPr>
              <w:pStyle w:val="List2"/>
              <w:ind w:left="0" w:right="113" w:hanging="28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  <w:tr>
        <w:trPr>
          <w:trHeight w:val="1415" w:hRule="atLeast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8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i/>
                <w:i/>
              </w:rPr>
            </w:pPr>
            <w:r>
              <w:rPr/>
              <w:t>часов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часов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т.ч., курсовая работа (проект),</w:t>
            </w:r>
          </w:p>
          <w:p>
            <w:pPr>
              <w:pStyle w:val="List2"/>
              <w:ind w:left="0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т.ч., курсовая работа (проект),</w:t>
            </w:r>
          </w:p>
          <w:p>
            <w:pPr>
              <w:pStyle w:val="List2"/>
              <w:ind w:left="0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Учебная</w:t>
            </w:r>
            <w:r>
              <w:rPr>
                <w:sz w:val="24"/>
                <w:szCs w:val="24"/>
              </w:rPr>
              <w:t>, часов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(по профилю специальности),</w:t>
            </w:r>
            <w:r>
              <w:rPr>
                <w:sz w:val="24"/>
                <w:szCs w:val="24"/>
              </w:rPr>
              <w:t>часов</w:t>
            </w:r>
          </w:p>
          <w:p>
            <w:pPr>
              <w:pStyle w:val="List2"/>
              <w:ind w:left="0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bookmarkStart w:id="6" w:name="OLE_LINK40"/>
            <w:bookmarkStart w:id="7" w:name="OLE_LINK39"/>
            <w:bookmarkStart w:id="8" w:name="OLE_LINK38"/>
            <w:r>
              <w:rPr>
                <w:b/>
                <w:sz w:val="24"/>
                <w:szCs w:val="24"/>
              </w:rPr>
              <w:t xml:space="preserve">ПК </w:t>
            </w:r>
            <w:bookmarkEnd w:id="6"/>
            <w:bookmarkEnd w:id="7"/>
            <w:bookmarkEnd w:id="8"/>
            <w:r>
              <w:rPr>
                <w:b/>
                <w:sz w:val="24"/>
                <w:szCs w:val="24"/>
              </w:rPr>
              <w:t>4.1, ПК 4.3</w:t>
            </w:r>
          </w:p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sz w:val="24"/>
                <w:szCs w:val="24"/>
              </w:rPr>
              <w:t xml:space="preserve"> Внедрения и поддержка программного обеспечения компьютерных систем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844" w:hRule="atLeast"/>
        </w:trPr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4.1,</w:t>
            </w:r>
          </w:p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4.2,</w:t>
            </w:r>
          </w:p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4.4</w:t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Обеспечение качества функционирования компьютерных систем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2"/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bookmarkStart w:id="9" w:name="OLE_LINK50"/>
            <w:bookmarkStart w:id="10" w:name="OLE_LINK49"/>
            <w:r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.1-</w:t>
            </w:r>
          </w:p>
          <w:p>
            <w:pPr>
              <w:pStyle w:val="Normal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bookmarkEnd w:id="9"/>
            <w:bookmarkEnd w:id="10"/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themeFill="background2" w:themeFillShade="bf" w:val="clear"/>
          </w:tcPr>
          <w:p>
            <w:pPr>
              <w:pStyle w:val="Normal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6A6A6" w:themeFill="background1" w:themeFillShade="a6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.1-</w:t>
            </w:r>
          </w:p>
          <w:p>
            <w:pPr>
              <w:pStyle w:val="Normal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  <w:r>
              <w:rPr>
                <w:sz w:val="24"/>
                <w:szCs w:val="24"/>
              </w:rPr>
              <w:t>, часов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EAAAA" w:themeFill="background2" w:themeFillShade="bf" w:val="clear"/>
          </w:tcPr>
          <w:p>
            <w:pPr>
              <w:pStyle w:val="Normal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</w:r>
          </w:p>
        </w:tc>
      </w:tr>
      <w:tr>
        <w:trPr>
          <w:trHeight w:val="582" w:hRule="atLeast"/>
        </w:trPr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>
        <w:trPr>
          <w:trHeight w:val="379" w:hRule="atLeast"/>
        </w:trPr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2"/>
              <w:ind w:lef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2"/>
              <w:ind w:left="0" w:hang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>
      <w:pPr>
        <w:pStyle w:val="Heading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2.2. </w:t>
      </w:r>
      <w:r>
        <w:rPr>
          <w:b/>
          <w:sz w:val="28"/>
          <w:szCs w:val="28"/>
        </w:rPr>
        <w:t>Тематический план и содержание профессионального модуля (ПМ)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tbl>
      <w:tblPr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5"/>
        <w:gridCol w:w="2331"/>
        <w:gridCol w:w="810"/>
        <w:gridCol w:w="9760"/>
        <w:gridCol w:w="1275"/>
      </w:tblGrid>
      <w:tr>
        <w:trPr>
          <w:trHeight w:val="569" w:hRule="atLeast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67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>Внедрение и поддержка программного обеспечения компьютерных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>
        <w:trPr>
          <w:trHeight w:val="67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МДК 4.1.</w:t>
            </w:r>
            <w:r>
              <w:rPr>
                <w:sz w:val="24"/>
                <w:szCs w:val="24"/>
              </w:rPr>
              <w:t xml:space="preserve"> </w:t>
            </w:r>
            <w:bookmarkStart w:id="11" w:name="__DdeLink__2659_1498286948"/>
            <w:r>
              <w:rPr>
                <w:sz w:val="24"/>
                <w:szCs w:val="24"/>
              </w:rPr>
              <w:t>Внедрение и поддержка программного обеспечения компьютерных систем</w:t>
            </w:r>
            <w:bookmarkEnd w:id="1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4.1.1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Основные понятия внедрения и виды работ на этапе сопровождения ПО</w:t>
            </w:r>
          </w:p>
          <w:p>
            <w:pPr>
              <w:pStyle w:val="Normal"/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ГОСТ Р ИСО/МЭК 12207. Основные процессы и взаимосвязь между документами в информационной системе согласно стандартам.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color w:val="FF0000"/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изучение ГОСТ Р ИСО/МЭК 15504-2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Виды внедрения, план внедрения. Стратегии, цели и сценарии внедрения. Функции менеджера сопровождения и менеджера развертывания.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[1] стр. 14-18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Типовые функции инструментария для автоматизации процесса внедрения информационной системы. Оценка качества функционирования информационной системы. CALS-технологии.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color w:val="FF0000"/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составить план конспекта лекции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Основные виды работ на этапе сопровождения программного обеспечения. Устранение недостатков (выявление, анализ и устранение несоответствий программного обеспечения).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[1] стр. 79-85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Основные виды работ на этапе составления бизнес-плана по внедрению и сопровождению программного обеспечения.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подготовка к тестированию по теме 4.1.1.</w:t>
            </w:r>
          </w:p>
        </w:tc>
      </w:tr>
      <w:tr>
        <w:trPr>
          <w:trHeight w:val="134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bookmarkStart w:id="12" w:name="OLE_LINK110"/>
            <w:bookmarkStart w:id="13" w:name="OLE_LINK109"/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  <w:bookmarkEnd w:id="12"/>
            <w:bookmarkEnd w:id="13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настройка операционной системы </w:t>
            </w:r>
            <w:r>
              <w:rPr>
                <w:sz w:val="24"/>
                <w:szCs w:val="24"/>
                <w:lang w:val="en-US"/>
              </w:rPr>
              <w:t>Windows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 роль </w:t>
            </w:r>
            <w:r>
              <w:rPr>
                <w:sz w:val="24"/>
                <w:szCs w:val="24"/>
                <w:lang w:val="en-US"/>
              </w:rPr>
              <w:t>IIS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  <w:lang w:val="en-US"/>
              </w:rPr>
              <w:t xml:space="preserve"> Mantis Bug Tracker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en-US"/>
              </w:rPr>
              <w:t xml:space="preserve"> Windows Server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Создание базы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MySQL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Mantis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 его конфигурирование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Установка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phpMyAdmin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в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Mantis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Базовые принципы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CALS</w:t>
            </w:r>
            <w:r>
              <w:rPr>
                <w:rFonts w:eastAsia="Times New Roman"/>
                <w:bCs/>
                <w:sz w:val="24"/>
                <w:szCs w:val="24"/>
              </w:rPr>
              <w:t>: интегрированная информационная система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Базовые принципы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CALS</w:t>
            </w:r>
            <w:r>
              <w:rPr>
                <w:rFonts w:eastAsia="Times New Roman"/>
                <w:bCs/>
                <w:sz w:val="24"/>
                <w:szCs w:val="24"/>
              </w:rPr>
              <w:t>: параллельный инжиниринг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Базовые принципы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CALS</w:t>
            </w:r>
            <w:r>
              <w:rPr>
                <w:rFonts w:eastAsia="Times New Roman"/>
                <w:bCs/>
                <w:sz w:val="24"/>
                <w:szCs w:val="24"/>
              </w:rPr>
              <w:t>: реинжиниринг бизнес-процессов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4.1.2 Загрузка и установка программного обеспечения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  <w:bookmarkStart w:id="14" w:name="_Hlk478502161"/>
            <w:bookmarkStart w:id="15" w:name="_Hlk478502161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Понятие совместимости программного обеспечения. Аппаратная и программная совместимость. Совместимость драйверов. Причины возникновения проблем совместимости. Методы выявления проблем совместимости ПО.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составление плана конспекта лекции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Выполнение чистой загрузки. Выявление причин возникновения проблем совместимости ПО. Выбор методов выявления совместимости. Проблемы перехода на новые версии программ. Мастер совместимости программ. Инструментарий учета аппаратных компонентов.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[1] стр. 141-150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Анализ приложений с проблемами совместимости.  Использование динамически загружаемых библиотек. Механизм решения проблем совместимости на основе «системных заплаток». Разработка модулей обеспечения совместимости. Создание в системе виртуальной машины для исполнения приложений.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составить список приложений для виртуализации операционных систем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Изменение настроек по умолчанию в образе. Подключение к сетевому ресурсу. Настройка обновлений программ. Обновление драйверов. Решение проблем конфигурации с помощью групповых политик. Тестирование на совместимость в безопасном режиме. Восстановление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408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bookmarkStart w:id="16" w:name="_Hlk478502161"/>
            <w:r>
              <w:rPr>
                <w:bCs/>
                <w:sz w:val="24"/>
                <w:szCs w:val="24"/>
              </w:rPr>
              <w:t>Домашнее задание: подготовка к тестированию по теме 4.1.2.</w:t>
            </w:r>
            <w:bookmarkEnd w:id="16"/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операционных систем.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встроенных программ.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утилит.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СУБД.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программных средств общего назначения.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программных средств специального назначения.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Модификация отдельных компонент программного обеспечения.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Настройки системы и обновлений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Windows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Linux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Создание образа системы. Восстановление системы.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Подготовить выступление на тему «Клиентское программное обеспечение».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Подготовить выступление на тему «Серверное программное обеспечение».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Провести оптимизацию производительности персонального компьютера.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67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Обеспечение качества функционирования компьютерных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</w:tr>
      <w:tr>
        <w:trPr>
          <w:trHeight w:val="67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МДК 4.2. </w:t>
            </w:r>
            <w:r>
              <w:rPr>
                <w:sz w:val="24"/>
                <w:szCs w:val="24"/>
              </w:rPr>
              <w:t>Обеспечение качества функционирования компьютерных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4.2.1 Основные методы качества функционирования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Многоуровневая модель качества программного обеспечения. Объекты уязвимости.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[1] стр. 289-300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Дестабилизирующие факторы и угрозы надежности. Методы предотвращения угроз надежности.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сравнительный анализ методов предотвращения угроз надежности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Оперативные методы повышения надежности: временная, информационная, программная избыточность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конспект [1] стр. 304-306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Первичные ошибки, вторичные ошибки и их проявления. Математические модели характеристик ошибок в программах.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[1] стр. 307-309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Анализ рисков и характеристик качества программного обеспечения при внедрении. Целесообразность разработки модулей адаптации.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подготовка к тестированию по теме 4.2.1.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информации.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модели оценки уязвимости информации.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Надежность функционирования программ.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качественных показателей программ.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обеспечения качества функционирования компьютерных систем.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Подготовить выступление на тему «Правильный и надежный комплекс программ».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Изучить культуру и этику программной инженерии.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Изучить надежность функционирования комплексов программ.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4.2.2 Методы и средства защиты компьютерных систем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Вредоносные программы: классификация, методы обнаружения. Антивирусные программы: классификация, сравнительный анализ.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[2] стр. 163-174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Файрвол: задачи, сравнительный анализ, настройка. Групповые политики. Аутентификация. Учетные записи.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составление списка современных файрволов.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Программы резервного копирования данных, восстановления файлов и очистки дисков.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составление плана конспекта лекции.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Средства и протоколы шифрования сообщений.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подготовка к тестированию по теме 4.2.2.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Установка и настройка антивируса. Настройка обновлений с помощью «зеркала».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Настройка политики безопасности в современных ОС.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Настройка современных браузеров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реестром в современных ОС.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программами восстановления файлов и очистки дисков.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правовую защиту, виды и принципы защиты компьютерной информации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67" w:hRule="atLeast"/>
        </w:trPr>
        <w:tc>
          <w:tcPr>
            <w:tcW w:w="31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современные файрволы в ОС семейства </w:t>
            </w:r>
            <w:r>
              <w:rPr>
                <w:sz w:val="24"/>
                <w:szCs w:val="24"/>
                <w:lang w:val="en-US"/>
              </w:rPr>
              <w:t>OpenSUSE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</w:tc>
      </w:tr>
      <w:tr>
        <w:trPr>
          <w:trHeight w:val="140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>
        <w:trPr>
          <w:trHeight w:val="140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(по профилю специальности)</w:t>
            </w:r>
          </w:p>
          <w:p>
            <w:pPr>
              <w:pStyle w:val="Normal"/>
              <w:rPr>
                <w:rFonts w:eastAsia="Calibri"/>
                <w:bCs/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инструктажа по технике безопасности. Получение заданий по тематике.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и настройка серверной операционной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системы отслеживания ошибок в программных продуктах.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системы отслеживания ошибок в программных продуктах.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Написание руководства пользователя для работы с системой отслеживания ошибок.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программных средств специального назначения.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Инсталляция пользовательских ОС и получение доступа к системе отслеживания ошибок.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70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антивируса на пользовательские ОС и настройка обновления с использованием «зеркала».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политики безопасности в пользовательских ОС.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Настройка программ для резервного копирования данных и средств шифрования.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Создание образа системы. Восстановление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Оформление отчета. Участие в зачет-конференции по учебной практике.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(по профилю специальности)</w:t>
            </w:r>
          </w:p>
          <w:p>
            <w:pPr>
              <w:pStyle w:val="Normal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Составление реестра ПО на рабочем месте.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и настройка серверной операционной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системы отслеживания ошибок в программных продуктах.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системы отслеживания ошибок в программных продуктах.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Написание руководства пользователя для работы с системой отслеживания ошибок.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Инсталляция и настройка программных средств специального назначения.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Инсталляция пользовательских ОС и получение доступа к системе отслеживания ошибок.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антивируса на пользовательские ОС и настройка обновления с использованием «зеркала».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политики безопасности в пользовательских ОС.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Настройка программ для резервного копирования данных 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Настройка средств шифрования.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Разрешение возникающих проблем совместимости программного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по результатам выявления и разрешения проблем и установки и настройки ПО.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виртуальной машины для исполнения на ней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обновления программ и драйверов.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Создание образа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производительности ПК.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Выполнение диагностики оборудования с использованием специализированных средств.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обновлений системы и программного обеспечения.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Установка и настройка антивирусного ПО.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Настройка файрвола для нужд предприятия.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13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Оформление отчета по настройке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Оформление отчета. Участие в зачет-конференции по производственной практике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right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Промежуточная аттестация (экзамен (квалификационный))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/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right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i/>
                <w:i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64</w:t>
            </w:r>
          </w:p>
        </w:tc>
      </w:tr>
    </w:tbl>
    <w:p>
      <w:pPr>
        <w:sectPr>
          <w:footerReference w:type="default" r:id="rId6"/>
          <w:footerReference w:type="first" r:id="rId7"/>
          <w:footnotePr>
            <w:numFmt w:val="decimal"/>
          </w:footnotePr>
          <w:type w:val="nextPage"/>
          <w:pgSz w:orient="landscape" w:w="16838" w:h="11906"/>
          <w:pgMar w:left="1134" w:right="851" w:gutter="0" w:header="0" w:top="851" w:footer="709" w:bottom="156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Heading1"/>
        <w:ind w:hang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 условия реализации программы ПРОФЕССИОНАЛЬНОГО МОДУЛЯ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Heading1"/>
        <w:ind w:hang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модуля предполагает наличие лаборатории программного обеспечения и сопровождения компьютерных систем.</w:t>
      </w:r>
    </w:p>
    <w:p>
      <w:pPr>
        <w:pStyle w:val="Normal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Оборудование  лаборатории: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 интерактивная доска, 1 интерактивный комплекс, 1 маркерная доска (флип-чарт), 1 проектор, 1 полотно для проектора, 22 кресла на колесиках, 8 стульев на ножках, 4 металлических шкафа, 1 огнетушитель, 1 роутер.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Технические средства обучения: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17 ПК, 17 мониторов  philips, 17 мониторов  dell, 1 сервер, 1 многофункциональное устройство, 17 источников бесперебойного питания, 17 телефонов samsung, 17 телефонов iphone, 2 ноутбука, 16 ученических столов, 1 преподаваетельский стол, 17 клавиатур, 17 манипуляторов мышь.</w:t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bookmarkStart w:id="17" w:name="_GoBack"/>
      <w:bookmarkStart w:id="18" w:name="_GoBack"/>
      <w:bookmarkEnd w:id="18"/>
    </w:p>
    <w:p>
      <w:pPr>
        <w:pStyle w:val="Heading1"/>
        <w:ind w:hanging="0"/>
        <w:rPr>
          <w:b/>
          <w:sz w:val="26"/>
          <w:szCs w:val="26"/>
        </w:rPr>
      </w:pPr>
      <w:r>
        <w:rPr>
          <w:b/>
          <w:sz w:val="26"/>
          <w:szCs w:val="26"/>
        </w:rPr>
        <w:t>3.2. Информационное обеспечение обучения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Основные источники:</w:t>
      </w:r>
    </w:p>
    <w:p>
      <w:pPr>
        <w:pStyle w:val="Normal"/>
        <w:ind w:firstLine="709"/>
        <w:jc w:val="both"/>
        <w:rPr>
          <w:rFonts w:eastAsia="PMingLiU"/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rFonts w:eastAsia="PMingLiU"/>
          <w:bCs/>
          <w:sz w:val="26"/>
          <w:szCs w:val="26"/>
        </w:rPr>
        <w:t>Федорова, Г.Н. Разработка, внедрение и адаптация программного обеспечения отраслевой направленности: учебное пособие / Г. Н. Федорова. — Москва: КУРС: ИНФРА-М. 2021— 336 с. — (СПО).: https://znanium.com/catalog/product/1138896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Гвоздева, В. А. Введение в специальность программиста: учебник / В. А. Гвоздева. — 2-е изд., испр. и доп. — Москва : ФОРУМ : ИНФРА-М, 2019. — 208 с. : ил. — (Проф. образование).: </w:t>
      </w:r>
      <w:hyperlink r:id="rId8">
        <w:r>
          <w:rPr>
            <w:rStyle w:val="Hyperlink"/>
            <w:bCs/>
            <w:sz w:val="26"/>
            <w:szCs w:val="26"/>
          </w:rPr>
          <w:t>https://znanium.com/catalog/product/988422</w:t>
        </w:r>
      </w:hyperlink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502" w:leader="underscore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Дополнительные источники: </w:t>
      </w:r>
    </w:p>
    <w:p>
      <w:pPr>
        <w:pStyle w:val="Normal"/>
        <w:shd w:val="clear" w:color="auto" w:fill="FFFFFF"/>
        <w:tabs>
          <w:tab w:val="clear" w:pos="708"/>
          <w:tab w:val="left" w:pos="7502" w:leader="underscore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Черников, Б. В. Управление качеством программного обеспечения : учебник / Б.В. Черников. — Москва: ИД «ФОРУМ» : ИНФРА-М, 2020. — 240 с. — (Среднее профессиональное образование). https://znanium.com/catalog/product/1046280 </w:t>
      </w:r>
    </w:p>
    <w:p>
      <w:pPr>
        <w:pStyle w:val="Normal"/>
        <w:shd w:val="clear" w:color="auto" w:fill="FFFFFF"/>
        <w:tabs>
          <w:tab w:val="clear" w:pos="708"/>
          <w:tab w:val="left" w:pos="7502" w:leader="underscore"/>
        </w:tabs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 Гагарина, Л. Г. Технология разработки программного обеспечения : учебное пособие / Л.Г. Гагарина, Е.В. Кокорева, Б.Д. Сидорова-Виснадул; под ред. Л.Г. Гагариной. — М.: ФОРУМ: ИНФРА - М, 2021. — 400 с. — (СПО: https://znanium.com/catalog/product/1189951</w:t>
      </w:r>
      <w:r>
        <w:rPr>
          <w:sz w:val="26"/>
          <w:szCs w:val="26"/>
        </w:rPr>
        <w:t>Интернет ресурсы:</w:t>
      </w:r>
    </w:p>
    <w:p>
      <w:pPr>
        <w:pStyle w:val="Normal"/>
        <w:shd w:val="clear" w:color="auto" w:fill="FFFFFF"/>
        <w:tabs>
          <w:tab w:val="clear" w:pos="708"/>
          <w:tab w:val="left" w:pos="7502" w:leader="underscor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Разработка, внедрение и адаптация программного обеспечения отраслевой направленности</w:t>
      </w:r>
      <w:r>
        <w:rPr>
          <w:sz w:val="26"/>
          <w:szCs w:val="26"/>
        </w:rPr>
        <w:t xml:space="preserve"> : учеб. пособие / Г.Н. Федорова. — М. :КУРС : ИНФРА-М, 2019. — 336 с. (СПО)  </w:t>
      </w:r>
      <w:hyperlink r:id="rId9">
        <w:r>
          <w:rPr>
            <w:rStyle w:val="Hyperlink"/>
            <w:sz w:val="26"/>
            <w:szCs w:val="26"/>
          </w:rPr>
          <w:t>http://znanium.com/</w:t>
        </w:r>
      </w:hyperlink>
    </w:p>
    <w:p>
      <w:pPr>
        <w:pStyle w:val="Normal"/>
        <w:shd w:val="clear" w:color="auto" w:fill="FFFFFF"/>
        <w:tabs>
          <w:tab w:val="clear" w:pos="708"/>
          <w:tab w:val="left" w:pos="7502" w:leader="underscor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502" w:leader="underscor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Интернет ресурсы:</w:t>
      </w:r>
    </w:p>
    <w:p>
      <w:pPr>
        <w:pStyle w:val="Normal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Электронно-библиотечная система. [Электронный ресурс] – режим доступа: http://znanium.com/ (2002-2022)</w:t>
      </w:r>
    </w:p>
    <w:p>
      <w:pPr>
        <w:pStyle w:val="Normal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ict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edu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 xml:space="preserve"> (2003-2022)</w:t>
      </w:r>
    </w:p>
    <w:p>
      <w:pPr>
        <w:pStyle w:val="Normal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Проект </w:t>
      </w:r>
      <w:r>
        <w:rPr>
          <w:bCs/>
          <w:sz w:val="26"/>
          <w:szCs w:val="26"/>
          <w:lang w:val="en-US"/>
        </w:rPr>
        <w:t>openSUSE</w:t>
      </w:r>
      <w:r>
        <w:rPr>
          <w:bCs/>
          <w:sz w:val="26"/>
          <w:szCs w:val="26"/>
        </w:rPr>
        <w:t xml:space="preserve"> [Электронный ресурс] – режим доступа: </w:t>
      </w:r>
      <w:hyperlink r:id="rId10">
        <w:r>
          <w:rPr>
            <w:rStyle w:val="Hyperlink"/>
            <w:sz w:val="26"/>
            <w:szCs w:val="26"/>
          </w:rPr>
          <w:t>https://ru.opensuse.org/</w:t>
        </w:r>
      </w:hyperlink>
      <w:r>
        <w:rPr>
          <w:bCs/>
          <w:sz w:val="26"/>
          <w:szCs w:val="26"/>
        </w:rPr>
        <w:t xml:space="preserve"> (2011-2022)</w:t>
      </w:r>
    </w:p>
    <w:p>
      <w:pPr>
        <w:pStyle w:val="Normal"/>
        <w:rPr/>
      </w:pPr>
      <w:r>
        <w:rPr/>
      </w:r>
    </w:p>
    <w:p>
      <w:pPr>
        <w:pStyle w:val="Heading1"/>
        <w:ind w:hang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профессионального модуля (ПО РАЗДЕЛАМ)</w:t>
      </w:r>
    </w:p>
    <w:p>
      <w:pPr>
        <w:pStyle w:val="Normal"/>
        <w:rPr/>
      </w:pPr>
      <w:r>
        <w:rPr/>
      </w:r>
    </w:p>
    <w:tbl>
      <w:tblPr>
        <w:tblW w:w="8954" w:type="dxa"/>
        <w:jc w:val="left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263"/>
        <w:gridCol w:w="4336"/>
        <w:gridCol w:w="2355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Критерии оценки</w:t>
            </w:r>
          </w:p>
          <w:p>
            <w:pPr>
              <w:pStyle w:val="Normal"/>
              <w:suppressAutoHyphens w:val="true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Методы оценки</w:t>
            </w:r>
          </w:p>
        </w:tc>
      </w:tr>
      <w:tr>
        <w:trPr/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Раздел модуля 1. Обеспечение внедрения и поддержки программного обеспечения компьютерных систем</w:t>
            </w:r>
          </w:p>
        </w:tc>
      </w:tr>
      <w:tr>
        <w:trPr>
          <w:trHeight w:val="69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ПК 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Экзамен в форме собеседования: 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>
        <w:trPr>
          <w:trHeight w:val="26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ПК 4.3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«отлично» - выполнен анализ условий эксплуатации программного обеспечения; проверена настройка конфигурации; выполнен анализ функционирования с помощью инструментальных средств; выявлены причины несоответствия выполняемых функций требованиям заказчика; предложены варианты модификации программного обеспечения.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«хорошо» - выполнен анализ условий эксплуатации программного обеспечения; проверена настройка конфигурации;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«удовлетворительно» - выполнен анализ условий эксплуатации программного обеспечения;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Экзамен в форме собеседования: практическое задание по анализу и определению направлений модификации программного обеспечения в соответствии с вариантом эксплуатации.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>
        <w:trPr>
          <w:trHeight w:val="490" w:hRule="atLeast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  <w:b/>
              </w:rPr>
            </w:pPr>
            <w:r>
              <w:rPr>
                <w:rFonts w:eastAsia="PMingLiU"/>
                <w:b/>
                <w:bCs/>
              </w:rPr>
              <w:t xml:space="preserve">Раздел 2. </w:t>
            </w:r>
            <w:r>
              <w:rPr>
                <w:rFonts w:eastAsia="PMingLiU"/>
                <w:b/>
                <w:bCs/>
                <w:u w:val="single"/>
              </w:rPr>
              <w:t>Обеспечение качества компьютерных систем в процессе эксплуатации</w:t>
            </w:r>
          </w:p>
        </w:tc>
      </w:tr>
      <w:tr>
        <w:trPr>
          <w:trHeight w:val="490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ПК 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Экзамен в форме собеседования: 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26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ПК 4.2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Экзамен в форме собеседования: практическое задание по измерению характеристик программного продукта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26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ПК 4.4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«отлично» - проанализированы риски и характеристики качества программного обеспечения; обоснованы и выбраны методы и средства защиты программного обеспечения; определен необходимый уровень защиты; защита программного обеспечения реализована на требуемом уровне.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«хорошо»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требуемом уровне.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Оценка «удовлетворительно»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стандартном уровне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Экзамен в форме собеседования: практическое задание по обоснованию выбора методов и средств защиты компьютерной системы требуемого уровня и их использованию.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Защита отчетов по практическим и лабораторным работам</w:t>
            </w:r>
          </w:p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>
        <w:trPr>
          <w:trHeight w:val="27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Распознавать сложные проблемы в знакомых ситуациях.</w:t>
            </w:r>
          </w:p>
          <w:p>
            <w:pPr>
              <w:pStyle w:val="Normal"/>
              <w:jc w:val="both"/>
              <w:rPr/>
            </w:pPr>
            <w:r>
              <w:rPr/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>
            <w:pPr>
              <w:pStyle w:val="Normal"/>
              <w:jc w:val="both"/>
              <w:rPr/>
            </w:pPr>
            <w:r>
              <w:rPr/>
              <w:t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</w:t>
            </w:r>
          </w:p>
          <w:p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>
            <w:pPr>
              <w:pStyle w:val="Normal"/>
              <w:jc w:val="both"/>
              <w:rPr/>
            </w:pPr>
            <w:r>
              <w:rPr/>
              <w:t>Проводить анализ полученной информации, выделять в ней главные аспекты</w:t>
            </w:r>
          </w:p>
          <w:p>
            <w:pPr>
              <w:pStyle w:val="Normal"/>
              <w:jc w:val="both"/>
              <w:rPr/>
            </w:pPr>
            <w:r>
              <w:rPr/>
              <w:t>Структурировать отобранную информацию в соответствии с параметрами поиска</w:t>
            </w:r>
          </w:p>
          <w:p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/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Участвовать в деловом общении для эффективного решения деловых задач</w:t>
            </w:r>
          </w:p>
          <w:p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Планировать профессиональную деятельность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Грамотно устно и письменно излагать свои мысли по профессиональной тематике на государственном языке</w:t>
            </w:r>
          </w:p>
          <w:p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Проявлять толерантность в рабочем коллективе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556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Грамотно устно и письменно излагать свои мысли по профессиональной тематике на государственном языке</w:t>
            </w:r>
          </w:p>
          <w:p>
            <w:pPr>
              <w:pStyle w:val="Normal"/>
              <w:jc w:val="both"/>
              <w:rPr/>
            </w:pPr>
            <w:r>
              <w:rPr/>
              <w:t>Проявлять толерантность в рабочем коллективе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Применять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Применять в профессиональной деятельности инструкций на государственном и иностранном языке.</w:t>
            </w:r>
          </w:p>
          <w:p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Вести общение на профессиональные темы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  <w:tr>
        <w:trPr>
          <w:trHeight w:val="13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  <w:bCs/>
              </w:rPr>
              <w:t>ОК.11.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PMingLiU"/>
              </w:rPr>
            </w:pPr>
            <w:r>
              <w:rPr>
                <w:rFonts w:eastAsia="PMingLi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11"/>
          <w:footerReference w:type="first" r:id="rId12"/>
          <w:footnotePr>
            <w:numFmt w:val="decimal"/>
          </w:footnotePr>
          <w:type w:val="nextPage"/>
          <w:pgSz w:w="11906" w:h="16838"/>
          <w:pgMar w:left="1418" w:right="567" w:gutter="0" w:header="0" w:top="1134" w:footer="709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1</w:t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</w:t>
      </w:r>
    </w:p>
    <w:p>
      <w:pPr>
        <w:pStyle w:val="Normal"/>
        <w:jc w:val="center"/>
        <w:rPr>
          <w:rFonts w:eastAsia="Times New Roman"/>
          <w:b/>
          <w:iCs/>
          <w:sz w:val="28"/>
          <w:szCs w:val="28"/>
        </w:rPr>
      </w:pPr>
      <w:bookmarkStart w:id="19" w:name="_Hlk101953258"/>
      <w:r>
        <w:rPr>
          <w:rFonts w:eastAsia="Times New Roman"/>
          <w:b/>
          <w:iCs/>
          <w:sz w:val="28"/>
          <w:szCs w:val="28"/>
        </w:rPr>
        <w:t>КОНКРЕТИЗАЦИЯ ДОСТИЖЕНИЯ ЛИЧНОСТНЫХ РЕЗУЛЬТАТОВ</w:t>
      </w:r>
      <w:bookmarkEnd w:id="19"/>
    </w:p>
    <w:p>
      <w:pPr>
        <w:pStyle w:val="Normal"/>
        <w:suppressAutoHyphens w:val="true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bCs/>
          <w:color w:val="000000"/>
          <w:sz w:val="28"/>
          <w:szCs w:val="28"/>
          <w:lang w:eastAsia="en-US"/>
        </w:rPr>
        <w:t>МДК 4.1 Внедрение и поддержка программного обеспечения компьютерных систем</w:t>
      </w:r>
    </w:p>
    <w:tbl>
      <w:tblPr>
        <w:tblStyle w:val="25"/>
        <w:tblW w:w="1474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74"/>
        <w:gridCol w:w="3796"/>
        <w:gridCol w:w="2490"/>
        <w:gridCol w:w="2068"/>
        <w:gridCol w:w="3121"/>
      </w:tblGrid>
      <w:tr>
        <w:trPr>
          <w:trHeight w:val="652" w:hRule="atLeast"/>
        </w:trPr>
        <w:tc>
          <w:tcPr>
            <w:tcW w:w="3274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Личностные результаты</w:t>
            </w:r>
          </w:p>
        </w:tc>
        <w:tc>
          <w:tcPr>
            <w:tcW w:w="3796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 урока(тема, дидактическая единица, тип урока, воспитательные задачи)</w:t>
            </w:r>
          </w:p>
        </w:tc>
        <w:tc>
          <w:tcPr>
            <w:tcW w:w="2490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Способ организации деятельности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Продукт деятельности</w:t>
            </w:r>
          </w:p>
        </w:tc>
        <w:tc>
          <w:tcPr>
            <w:tcW w:w="3121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Оценка процесса формирования ЛР</w:t>
            </w:r>
          </w:p>
        </w:tc>
      </w:tr>
      <w:tr>
        <w:trPr>
          <w:trHeight w:val="267" w:hRule="atLeast"/>
        </w:trPr>
        <w:tc>
          <w:tcPr>
            <w:tcW w:w="3274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14. Демонстрирующий навыки анализа и интерпретации информации из различных источников с учетом нормативно-правовых норм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19. Осуществляющий сопровождение и обслуживание программного обеспечения компьютерных систем</w:t>
            </w:r>
          </w:p>
        </w:tc>
        <w:tc>
          <w:tcPr>
            <w:tcW w:w="3796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Arial Unicode MS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Основные понятия внедрения и виды работ на этапе сопровождения ПО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» (10ч)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Тип урока: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изучения и первичного закрепления новых знаний и способов деятельности (конференция)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Воспитательный задачи: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формирование уважения к своей будущей профессии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формирование личностно-ориентированного подхода, ориентированного на личности учёных, чьи достижения составляют содержание изучаемого предмета</w:t>
            </w:r>
          </w:p>
        </w:tc>
        <w:tc>
          <w:tcPr>
            <w:tcW w:w="249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Проектная сессия ко дню тестировщика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(9.09) </w:t>
            </w: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«Во всем виноват мотылек»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с самостоятельно подготовленными студентами в группах проектами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Эмоционально окрашенные проекты</w:t>
            </w:r>
          </w:p>
        </w:tc>
        <w:tc>
          <w:tcPr>
            <w:tcW w:w="3121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эмоциональное позитивное отношение к своей будущей профессии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навыки анализа и интерпретации информации из различных источников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демонстрация личностного интереса к изучаемому предмету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bCs/>
          <w:color w:val="000000"/>
          <w:sz w:val="28"/>
          <w:szCs w:val="28"/>
          <w:lang w:eastAsia="en-US"/>
        </w:rPr>
        <w:t>МДК 4.2 Обеспечение качества функционирования компьютерных систем</w:t>
      </w:r>
    </w:p>
    <w:tbl>
      <w:tblPr>
        <w:tblStyle w:val="3"/>
        <w:tblW w:w="1474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74"/>
        <w:gridCol w:w="3796"/>
        <w:gridCol w:w="2490"/>
        <w:gridCol w:w="2068"/>
        <w:gridCol w:w="3121"/>
      </w:tblGrid>
      <w:tr>
        <w:trPr>
          <w:trHeight w:val="652" w:hRule="atLeast"/>
        </w:trPr>
        <w:tc>
          <w:tcPr>
            <w:tcW w:w="3274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Личностные результаты</w:t>
            </w:r>
          </w:p>
        </w:tc>
        <w:tc>
          <w:tcPr>
            <w:tcW w:w="3796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 урока(тема, дидактическая единица, тип урока, воспитательные задачи)</w:t>
            </w:r>
          </w:p>
        </w:tc>
        <w:tc>
          <w:tcPr>
            <w:tcW w:w="2490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Способ организации деятельности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Продукт деятельности</w:t>
            </w:r>
          </w:p>
        </w:tc>
        <w:tc>
          <w:tcPr>
            <w:tcW w:w="3121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Оценка процесса формирования ЛР</w:t>
            </w:r>
          </w:p>
        </w:tc>
      </w:tr>
      <w:tr>
        <w:trPr>
          <w:trHeight w:val="1270" w:hRule="atLeast"/>
        </w:trPr>
        <w:tc>
          <w:tcPr>
            <w:tcW w:w="3274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14. Демонстрирующий навыки анализа и интерпретации информации из различных источников с учетом нормативно-правовых норм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ЛР 19. Осуществляющий сопровождение и обслуживание программного обеспечения компьютерных систем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796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Тема: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Arial Unicode MS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Основные методы качества функционирования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» (10ч)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Тип урока: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изучения и первичного закрепления новых знаний и способов деятельности (конференция)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Воспитательный задачи: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формирование уважения к своей будущей профессии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формирование личностно-ориентированного подхода, ориентированного на личности учёных, чьи достижения составляют содержание изучаемого предмета</w:t>
            </w:r>
          </w:p>
        </w:tc>
        <w:tc>
          <w:tcPr>
            <w:tcW w:w="249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Викторина «Стандарты – основа обеспечения качества программного обеспечения»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к Всемирному дню стандартов 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(14.10)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68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Эмоционально окрашенные ответы на вопросы викторины</w:t>
            </w:r>
          </w:p>
        </w:tc>
        <w:tc>
          <w:tcPr>
            <w:tcW w:w="3121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эмоциональное позитивное отношение к своей будущей профессии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навыки анализа и интерпретации информации из различных источников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  <w:t>- демонстрация личностного интереса к изучаемому предмету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3"/>
      <w:footerReference w:type="first" r:id="rId14"/>
      <w:footnotePr>
        <w:numFmt w:val="decimal"/>
      </w:footnotePr>
      <w:type w:val="nextPage"/>
      <w:pgSz w:orient="landscape" w:w="16838" w:h="11906"/>
      <w:pgMar w:left="1134" w:right="1134" w:gutter="0" w:header="0" w:top="567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4"/>
      </w:rPr>
    </w:pPr>
    <w:r>
      <w:rPr>
        <w:sz w:val="24"/>
      </w:rPr>
    </w:r>
  </w:p>
  <w:p>
    <w:pPr>
      <w:pStyle w:val="Foo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505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732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4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48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5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71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spacing w:lineRule="exact" w:line="200"/>
        <w:jc w:val="both"/>
        <w:rPr/>
      </w:pPr>
      <w:r>
        <w:rPr>
          <w:rStyle w:val="Style16"/>
        </w:rPr>
        <w:t>*</w:t>
      </w:r>
      <w:r>
        <w:rPr/>
        <w:t xml:space="preserve"> </w:t>
      </w:r>
      <w:r>
        <w:rPr/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b0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131f7e"/>
    <w:pPr>
      <w:keepNext w:val="true"/>
      <w:widowControl/>
      <w:ind w:firstLine="284"/>
      <w:outlineLvl w:val="0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31f7e"/>
    <w:pPr>
      <w:keepNext w:val="true"/>
      <w:widowControl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Подзаголовок Знак"/>
    <w:basedOn w:val="DefaultParagraphFont"/>
    <w:qFormat/>
    <w:rsid w:val="006e1ddb"/>
    <w:rPr>
      <w:rFonts w:ascii="Cambria" w:hAnsi="Cambria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6e118d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6e118d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Emphasis">
    <w:name w:val="Emphasis"/>
    <w:qFormat/>
    <w:rsid w:val="00ca6dc7"/>
    <w:rPr>
      <w:i/>
      <w:iCs/>
    </w:rPr>
  </w:style>
  <w:style w:type="character" w:styleId="Pagenumber">
    <w:name w:val="page number"/>
    <w:basedOn w:val="DefaultParagraphFont"/>
    <w:qFormat/>
    <w:rsid w:val="00035979"/>
    <w:rPr/>
  </w:style>
  <w:style w:type="character" w:styleId="1" w:customStyle="1">
    <w:name w:val="Заголовок 1 Знак"/>
    <w:basedOn w:val="DefaultParagraphFont"/>
    <w:qFormat/>
    <w:rsid w:val="00131f7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Заголовок 2 Знак"/>
    <w:basedOn w:val="DefaultParagraphFont"/>
    <w:semiHidden/>
    <w:qFormat/>
    <w:rsid w:val="00131f7e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21" w:customStyle="1">
    <w:name w:val="Основной текст 2 Знак"/>
    <w:basedOn w:val="DefaultParagraphFont"/>
    <w:link w:val="BodyText2"/>
    <w:qFormat/>
    <w:rsid w:val="00131f7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131f7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Символ сноски"/>
    <w:semiHidden/>
    <w:qFormat/>
    <w:rsid w:val="00131f7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sid w:val="00131f7e"/>
    <w:rPr>
      <w:color w:val="0000FF"/>
      <w:u w:val="single"/>
    </w:rPr>
  </w:style>
  <w:style w:type="character" w:styleId="Strong">
    <w:name w:val="Strong"/>
    <w:uiPriority w:val="22"/>
    <w:qFormat/>
    <w:rsid w:val="00131f7e"/>
    <w:rPr>
      <w:b/>
      <w:bCs/>
    </w:rPr>
  </w:style>
  <w:style w:type="character" w:styleId="Apple-converted-space" w:customStyle="1">
    <w:name w:val="apple-converted-space"/>
    <w:qFormat/>
    <w:rsid w:val="00131f7e"/>
    <w:rPr/>
  </w:style>
  <w:style w:type="character" w:styleId="FollowedHyperlink">
    <w:name w:val="FollowedHyperlink"/>
    <w:basedOn w:val="DefaultParagraphFont"/>
    <w:uiPriority w:val="99"/>
    <w:semiHidden/>
    <w:unhideWhenUsed/>
    <w:rsid w:val="00131f7e"/>
    <w:rPr>
      <w:color w:themeColor="followedHyperlink" w:val="954F72"/>
      <w:u w:val="single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920a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8" w:customStyle="1">
    <w:name w:val="Без интервала Знак"/>
    <w:basedOn w:val="DefaultParagraphFont"/>
    <w:link w:val="NoSpacing"/>
    <w:uiPriority w:val="1"/>
    <w:qFormat/>
    <w:rsid w:val="00c4165e"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EndnoteReference">
    <w:name w:val="Endnote Reference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rsid w:val="00035979"/>
    <w:pPr>
      <w:widowControl/>
      <w:ind w:left="283" w:hanging="283"/>
    </w:pPr>
    <w:rPr>
      <w:rFonts w:eastAsia="Times New Roman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Subtitle">
    <w:name w:val="Subtitle"/>
    <w:basedOn w:val="Normal"/>
    <w:next w:val="Normal"/>
    <w:link w:val="Style12"/>
    <w:qFormat/>
    <w:rsid w:val="006e1ddb"/>
    <w:pPr>
      <w:widowControl/>
      <w:spacing w:before="0"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6e11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4"/>
    <w:uiPriority w:val="99"/>
    <w:unhideWhenUsed/>
    <w:rsid w:val="006e11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Style18"/>
    <w:uiPriority w:val="1"/>
    <w:qFormat/>
    <w:rsid w:val="00ca6d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03597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2">
    <w:name w:val="List 2"/>
    <w:basedOn w:val="Normal"/>
    <w:unhideWhenUsed/>
    <w:qFormat/>
    <w:rsid w:val="00131f7e"/>
    <w:pPr>
      <w:spacing w:before="0" w:after="0"/>
      <w:ind w:left="566" w:hanging="283"/>
      <w:contextualSpacing/>
    </w:pPr>
    <w:rPr/>
  </w:style>
  <w:style w:type="paragraph" w:styleId="Style23" w:customStyle="1">
    <w:name w:val="список с точками"/>
    <w:basedOn w:val="Normal"/>
    <w:qFormat/>
    <w:rsid w:val="00131f7e"/>
    <w:pPr>
      <w:widowControl/>
      <w:numPr>
        <w:ilvl w:val="0"/>
        <w:numId w:val="2"/>
      </w:numPr>
      <w:spacing w:lineRule="auto" w:line="312"/>
      <w:jc w:val="both"/>
    </w:pPr>
    <w:rPr>
      <w:rFonts w:eastAsia="Calibri"/>
      <w:sz w:val="24"/>
      <w:szCs w:val="24"/>
    </w:rPr>
  </w:style>
  <w:style w:type="paragraph" w:styleId="22" w:customStyle="1">
    <w:name w:val="Знак2"/>
    <w:basedOn w:val="Normal"/>
    <w:qFormat/>
    <w:rsid w:val="00131f7e"/>
    <w:pPr>
      <w:widowControl/>
      <w:tabs>
        <w:tab w:val="left" w:pos="708" w:leader="none"/>
      </w:tabs>
      <w:spacing w:lineRule="exact" w:line="240" w:before="0" w:after="160"/>
    </w:pPr>
    <w:rPr>
      <w:rFonts w:ascii="Verdana" w:hAnsi="Verdana" w:eastAsia="Times New Roman" w:cs="Verdana"/>
      <w:lang w:val="en-US" w:eastAsia="en-US"/>
    </w:rPr>
  </w:style>
  <w:style w:type="paragraph" w:styleId="BodyText2">
    <w:name w:val="Body Text 2"/>
    <w:basedOn w:val="Normal"/>
    <w:link w:val="21"/>
    <w:qFormat/>
    <w:rsid w:val="00131f7e"/>
    <w:pPr>
      <w:widowControl/>
      <w:spacing w:lineRule="auto" w:line="480" w:before="0" w:after="12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qFormat/>
    <w:rsid w:val="00131f7e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Style15"/>
    <w:semiHidden/>
    <w:rsid w:val="00131f7e"/>
    <w:pPr>
      <w:widowControl/>
    </w:pPr>
    <w:rPr>
      <w:rFonts w:eastAsia="Times New Roman"/>
    </w:rPr>
  </w:style>
  <w:style w:type="paragraph" w:styleId="Style24" w:customStyle="1">
    <w:name w:val="Для программ ФГОС"/>
    <w:basedOn w:val="Normal"/>
    <w:qFormat/>
    <w:rsid w:val="00131f7e"/>
    <w:pPr>
      <w:widowControl/>
      <w:ind w:firstLine="709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920a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007"/>
    <w:pPr>
      <w:spacing w:before="0" w:after="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2"/>
    <w:uiPriority w:val="39"/>
    <w:rsid w:val="007f2284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rsid w:val="00be23c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39"/>
    <w:rsid w:val="00100c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5a31a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hyperlink" Target="https://znanium.com/catalog/product/988422" TargetMode="External"/><Relationship Id="rId9" Type="http://schemas.openxmlformats.org/officeDocument/2006/relationships/hyperlink" Target="http://znanium.com/" TargetMode="External"/><Relationship Id="rId10" Type="http://schemas.openxmlformats.org/officeDocument/2006/relationships/hyperlink" Target="https://ru.opensuse.org/" TargetMode="Externa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Application>Collabora_Office/23.05.3.1$Linux_X86_64 LibreOffice_project/403de153e12fced8f0564b400b4f434a8101b259</Application>
  <AppVersion>15.0000</AppVersion>
  <Pages>17</Pages>
  <Words>3718</Words>
  <Characters>28544</Characters>
  <CharactersWithSpaces>31701</CharactersWithSpaces>
  <Paragraphs>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2020-10-01T11:35:00Z</dcterms:created>
  <dc:creator>Admin</dc:creator>
  <dc:description/>
  <dc:language>ru-RU</dc:language>
  <cp:lastModifiedBy/>
  <cp:lastPrinted>2021-10-13T06:06:00Z</cp:lastPrinted>
  <dcterms:modified xsi:type="dcterms:W3CDTF">2023-09-19T11:53:12Z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